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p w:rsidR="00152B50" w:rsidRPr="001665DB" w:rsidRDefault="00152B50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2B50"/>
    <w:rsid w:val="00154A88"/>
    <w:rsid w:val="00165CAD"/>
    <w:rsid w:val="001665DB"/>
    <w:rsid w:val="001F1921"/>
    <w:rsid w:val="003013FB"/>
    <w:rsid w:val="00313BD9"/>
    <w:rsid w:val="00412291"/>
    <w:rsid w:val="005357EB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6BF51-2D7D-4712-BB5B-8295265AB3D9}"/>
</file>

<file path=customXml/itemProps2.xml><?xml version="1.0" encoding="utf-8"?>
<ds:datastoreItem xmlns:ds="http://schemas.openxmlformats.org/officeDocument/2006/customXml" ds:itemID="{50175FAD-490C-44FA-82B1-1216297F1F29}"/>
</file>

<file path=customXml/itemProps3.xml><?xml version="1.0" encoding="utf-8"?>
<ds:datastoreItem xmlns:ds="http://schemas.openxmlformats.org/officeDocument/2006/customXml" ds:itemID="{DCDD7A25-686A-467C-A34E-91713A8E3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2024-04-12T06:58:00Z</dcterms:modified>
</cp:coreProperties>
</file>