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3B35B-0B40-4F80-8DE3-21505A27504A}"/>
</file>

<file path=customXml/itemProps2.xml><?xml version="1.0" encoding="utf-8"?>
<ds:datastoreItem xmlns:ds="http://schemas.openxmlformats.org/officeDocument/2006/customXml" ds:itemID="{D5B86EFA-FA1C-499F-B03E-38894333CC1A}"/>
</file>

<file path=customXml/itemProps3.xml><?xml version="1.0" encoding="utf-8"?>
<ds:datastoreItem xmlns:ds="http://schemas.openxmlformats.org/officeDocument/2006/customXml" ds:itemID="{942CCCBA-863A-467A-BD2F-3E99BFCC5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2022-07-26T11:15:00Z</dcterms:modified>
</cp:coreProperties>
</file>