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74" w:rsidRDefault="00236974" w:rsidP="00236974">
      <w:pPr>
        <w:pStyle w:val="a6"/>
        <w:ind w:left="1620"/>
        <w:outlineLvl w:val="0"/>
      </w:pPr>
      <w:r>
        <w:rPr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ПРЕСС-СЛУЖБА</w:t>
      </w:r>
    </w:p>
    <w:p w:rsidR="00236974" w:rsidRDefault="00236974" w:rsidP="00236974">
      <w:pPr>
        <w:pStyle w:val="a6"/>
        <w:ind w:left="1620"/>
      </w:pPr>
      <w:r>
        <w:t>ГОСУДАРСТВЕННОГО УЧРЕЖДЕНИЯ – ОТДЕЛЕНИЯ ПЕНСИОННОГО ФОНДА РОССИЙСКОЙ ФЕДЕРАЦИИ</w:t>
      </w:r>
    </w:p>
    <w:p w:rsidR="00236974" w:rsidRDefault="00236974" w:rsidP="00236974">
      <w:pPr>
        <w:pStyle w:val="a6"/>
        <w:ind w:left="1620"/>
        <w:outlineLvl w:val="0"/>
      </w:pPr>
      <w:r>
        <w:t>ПО ВОЛГОГРАДСКОЙ ОБЛАСТИ</w:t>
      </w:r>
    </w:p>
    <w:p w:rsidR="00236974" w:rsidRDefault="00236974" w:rsidP="00236974">
      <w:pPr>
        <w:pStyle w:val="a8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 xml:space="preserve">. Волгоград, ул. </w:t>
      </w:r>
      <w:proofErr w:type="spellStart"/>
      <w:r>
        <w:rPr>
          <w:b/>
          <w:sz w:val="20"/>
          <w:szCs w:val="20"/>
        </w:rPr>
        <w:t>Рабоче-Крестьянская</w:t>
      </w:r>
      <w:proofErr w:type="spellEnd"/>
      <w:r>
        <w:rPr>
          <w:b/>
          <w:sz w:val="20"/>
          <w:szCs w:val="20"/>
        </w:rPr>
        <w:t>, 16</w:t>
      </w:r>
    </w:p>
    <w:p w:rsidR="00236974" w:rsidRDefault="00236974" w:rsidP="00236974">
      <w:pPr>
        <w:pStyle w:val="a8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236974" w:rsidRDefault="00495D03" w:rsidP="00236974">
      <w:pPr>
        <w:pStyle w:val="a8"/>
        <w:ind w:left="1620"/>
        <w:jc w:val="center"/>
        <w:rPr>
          <w:b/>
          <w:bCs/>
          <w:sz w:val="28"/>
        </w:rPr>
      </w:pPr>
      <w:r w:rsidRPr="00495D03">
        <w:pict>
          <v:line id="_x0000_s1026" style="position:absolute;left:0;text-align:left;z-index:251660288" from="36pt,4.7pt" to="7in,4.7pt" strokeweight="1.59mm">
            <v:stroke joinstyle="miter"/>
          </v:line>
        </w:pict>
      </w:r>
    </w:p>
    <w:p w:rsidR="00236974" w:rsidRDefault="00236974" w:rsidP="00236974">
      <w:pPr>
        <w:pStyle w:val="a8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5" w:history="1">
        <w:r w:rsidR="00A53C1B" w:rsidRPr="00210537">
          <w:rPr>
            <w:rStyle w:val="a5"/>
            <w:sz w:val="20"/>
            <w:szCs w:val="20"/>
            <w:lang w:val="en-US"/>
          </w:rPr>
          <w:t>www</w:t>
        </w:r>
        <w:r w:rsidR="00A53C1B" w:rsidRPr="00210537">
          <w:rPr>
            <w:rStyle w:val="a5"/>
          </w:rPr>
          <w:t>.</w:t>
        </w:r>
        <w:r w:rsidR="00A53C1B" w:rsidRPr="00210537">
          <w:rPr>
            <w:rStyle w:val="a5"/>
            <w:lang w:val="en-US"/>
          </w:rPr>
          <w:t>pfr</w:t>
        </w:r>
        <w:r w:rsidR="00A53C1B" w:rsidRPr="00210537">
          <w:rPr>
            <w:rStyle w:val="a5"/>
          </w:rPr>
          <w:t>.</w:t>
        </w:r>
        <w:r w:rsidR="00A53C1B" w:rsidRPr="00210537">
          <w:rPr>
            <w:rStyle w:val="a5"/>
            <w:lang w:val="en-US"/>
          </w:rPr>
          <w:t>gov</w:t>
        </w:r>
        <w:r w:rsidR="00A53C1B" w:rsidRPr="00210537">
          <w:rPr>
            <w:rStyle w:val="a5"/>
          </w:rPr>
          <w:t>.</w:t>
        </w:r>
        <w:r w:rsidR="00A53C1B" w:rsidRPr="00210537">
          <w:rPr>
            <w:rStyle w:val="a5"/>
            <w:lang w:val="en-US"/>
          </w:rPr>
          <w:t>ru</w:t>
        </w:r>
      </w:hyperlink>
    </w:p>
    <w:p w:rsidR="00236974" w:rsidRDefault="003A552D" w:rsidP="00236974">
      <w:pPr>
        <w:pStyle w:val="a3"/>
        <w:jc w:val="center"/>
        <w:rPr>
          <w:b/>
          <w:sz w:val="28"/>
          <w:szCs w:val="28"/>
        </w:rPr>
      </w:pPr>
      <w:r w:rsidRPr="00236974">
        <w:rPr>
          <w:b/>
          <w:sz w:val="28"/>
          <w:szCs w:val="28"/>
        </w:rPr>
        <w:t>Переход на карту МИР продлен до 1 июля 2021 года</w:t>
      </w:r>
    </w:p>
    <w:p w:rsidR="00236974" w:rsidRDefault="003A552D" w:rsidP="00236974">
      <w:pPr>
        <w:pStyle w:val="a3"/>
        <w:jc w:val="both"/>
        <w:rPr>
          <w:sz w:val="28"/>
          <w:szCs w:val="28"/>
        </w:rPr>
      </w:pPr>
      <w:r w:rsidRPr="003A552D">
        <w:rPr>
          <w:sz w:val="28"/>
          <w:szCs w:val="28"/>
        </w:rPr>
        <w:br/>
      </w:r>
      <w:r w:rsidR="002C7C97" w:rsidRPr="00156312">
        <w:rPr>
          <w:rStyle w:val="a4"/>
          <w:b w:val="0"/>
          <w:sz w:val="28"/>
          <w:szCs w:val="28"/>
        </w:rPr>
        <w:t>Вновь сдвинут срок переход</w:t>
      </w:r>
      <w:r w:rsidR="00156312" w:rsidRPr="00156312">
        <w:rPr>
          <w:rStyle w:val="a4"/>
          <w:b w:val="0"/>
          <w:sz w:val="28"/>
          <w:szCs w:val="28"/>
        </w:rPr>
        <w:t>а</w:t>
      </w:r>
      <w:r w:rsidR="002C7C97" w:rsidRPr="00156312">
        <w:rPr>
          <w:rStyle w:val="a4"/>
          <w:b w:val="0"/>
          <w:sz w:val="28"/>
          <w:szCs w:val="28"/>
        </w:rPr>
        <w:t xml:space="preserve"> на национальную платежную систему.</w:t>
      </w:r>
      <w:r w:rsidR="00156312" w:rsidRPr="00156312">
        <w:rPr>
          <w:b/>
          <w:sz w:val="28"/>
          <w:szCs w:val="28"/>
        </w:rPr>
        <w:t xml:space="preserve"> </w:t>
      </w:r>
      <w:r w:rsidR="00156312">
        <w:rPr>
          <w:sz w:val="28"/>
          <w:szCs w:val="28"/>
        </w:rPr>
        <w:t>В</w:t>
      </w:r>
      <w:r w:rsidR="00156312" w:rsidRPr="003A552D">
        <w:rPr>
          <w:sz w:val="28"/>
          <w:szCs w:val="28"/>
        </w:rPr>
        <w:t xml:space="preserve"> условиях распространения </w:t>
      </w:r>
      <w:proofErr w:type="spellStart"/>
      <w:r w:rsidR="00156312" w:rsidRPr="003A552D">
        <w:rPr>
          <w:sz w:val="28"/>
          <w:szCs w:val="28"/>
        </w:rPr>
        <w:t>коронавирусной</w:t>
      </w:r>
      <w:proofErr w:type="spellEnd"/>
      <w:r w:rsidR="00156312" w:rsidRPr="003A552D">
        <w:rPr>
          <w:sz w:val="28"/>
          <w:szCs w:val="28"/>
        </w:rPr>
        <w:t xml:space="preserve"> инфекции и установления на территории Российской Федерации ограничения передвижения граждан</w:t>
      </w:r>
      <w:r w:rsidR="00156312">
        <w:rPr>
          <w:sz w:val="28"/>
          <w:szCs w:val="28"/>
        </w:rPr>
        <w:t xml:space="preserve"> сроки продлены еще на полгода.</w:t>
      </w:r>
    </w:p>
    <w:p w:rsidR="003A552D" w:rsidRPr="003A552D" w:rsidRDefault="002C7C97" w:rsidP="00156312">
      <w:pPr>
        <w:pStyle w:val="a3"/>
        <w:jc w:val="both"/>
        <w:rPr>
          <w:sz w:val="28"/>
          <w:szCs w:val="28"/>
        </w:rPr>
      </w:pPr>
      <w:r w:rsidRPr="00156312">
        <w:rPr>
          <w:rStyle w:val="a4"/>
          <w:b w:val="0"/>
          <w:sz w:val="28"/>
          <w:szCs w:val="28"/>
        </w:rPr>
        <w:t>В соот</w:t>
      </w:r>
      <w:r w:rsidR="003A552D" w:rsidRPr="00156312">
        <w:rPr>
          <w:rStyle w:val="a4"/>
          <w:b w:val="0"/>
          <w:sz w:val="28"/>
          <w:szCs w:val="28"/>
        </w:rPr>
        <w:t>ветствии с Федеральным законом «О национальной платежной системе» пенсии и иные социальные выплаты должны перечисляться на карты «Мир». Соответственно, тем получателям выплат, которые используют карты иных платежных систем, следует до этого времени заменить их на «Мир».</w:t>
      </w:r>
      <w:r w:rsidR="00156312">
        <w:rPr>
          <w:rStyle w:val="a4"/>
          <w:b w:val="0"/>
          <w:sz w:val="28"/>
          <w:szCs w:val="28"/>
        </w:rPr>
        <w:t xml:space="preserve"> Теперь срок перехода сдвинут на 1 июля 2021 года. </w:t>
      </w:r>
    </w:p>
    <w:p w:rsidR="003A552D" w:rsidRPr="003A552D" w:rsidRDefault="003A552D" w:rsidP="003A552D">
      <w:pPr>
        <w:pStyle w:val="a3"/>
        <w:jc w:val="both"/>
        <w:rPr>
          <w:sz w:val="28"/>
          <w:szCs w:val="28"/>
        </w:rPr>
      </w:pPr>
      <w:r w:rsidRPr="003A552D">
        <w:rPr>
          <w:sz w:val="28"/>
          <w:szCs w:val="28"/>
        </w:rPr>
        <w:t>Важно отметить, что использование банковских карт национальной платежной системы «Мир» при доставке пенсии не предусмотрено для лиц, имеющих постоянное место жительства за пределами Российской Федерации.</w:t>
      </w:r>
    </w:p>
    <w:p w:rsidR="00DE458C" w:rsidRDefault="003A552D" w:rsidP="00236974">
      <w:pPr>
        <w:jc w:val="both"/>
      </w:pPr>
      <w:r w:rsidRPr="003A552D">
        <w:rPr>
          <w:rFonts w:ascii="Times New Roman" w:hAnsi="Times New Roman" w:cs="Times New Roman"/>
          <w:sz w:val="28"/>
          <w:szCs w:val="28"/>
        </w:rPr>
        <w:t xml:space="preserve">Не стоит волноваться по поводу перехода на платежную систему «Мир»: он не вызовет трудностей. Как показывает практика, зачастую счет получателя просто переводится на национальную платежную систему и реквизиты остаются прежними. </w:t>
      </w:r>
      <w:r w:rsidR="00156312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bookmarkStart w:id="0" w:name="_GoBack"/>
      <w:bookmarkEnd w:id="0"/>
      <w:r w:rsidRPr="003A552D">
        <w:rPr>
          <w:rFonts w:ascii="Times New Roman" w:hAnsi="Times New Roman" w:cs="Times New Roman"/>
          <w:sz w:val="28"/>
          <w:szCs w:val="28"/>
        </w:rPr>
        <w:t>обращаться в Пенсионный фонд Вам не придется.</w:t>
      </w:r>
      <w:r w:rsidRPr="003A552D">
        <w:rPr>
          <w:rFonts w:ascii="Times New Roman" w:hAnsi="Times New Roman" w:cs="Times New Roman"/>
          <w:sz w:val="28"/>
          <w:szCs w:val="28"/>
        </w:rPr>
        <w:br/>
      </w:r>
    </w:p>
    <w:sectPr w:rsidR="00DE458C" w:rsidSect="0047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552D"/>
    <w:rsid w:val="00156312"/>
    <w:rsid w:val="00236974"/>
    <w:rsid w:val="002C7C97"/>
    <w:rsid w:val="003A552D"/>
    <w:rsid w:val="003E4224"/>
    <w:rsid w:val="004721E2"/>
    <w:rsid w:val="00495D03"/>
    <w:rsid w:val="008A41A1"/>
    <w:rsid w:val="00A53C1B"/>
    <w:rsid w:val="00D87D6A"/>
    <w:rsid w:val="00DE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552D"/>
    <w:rPr>
      <w:b/>
      <w:bCs/>
    </w:rPr>
  </w:style>
  <w:style w:type="character" w:styleId="a5">
    <w:name w:val="Hyperlink"/>
    <w:basedOn w:val="a0"/>
    <w:unhideWhenUsed/>
    <w:rsid w:val="00236974"/>
    <w:rPr>
      <w:color w:val="0000FF"/>
      <w:u w:val="single"/>
    </w:rPr>
  </w:style>
  <w:style w:type="paragraph" w:styleId="a6">
    <w:name w:val="Body Text"/>
    <w:basedOn w:val="a"/>
    <w:link w:val="a7"/>
    <w:rsid w:val="002369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3697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Body Text Indent"/>
    <w:basedOn w:val="a"/>
    <w:link w:val="a9"/>
    <w:rsid w:val="0023697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2369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5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www.pfr.gov.r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99AAD-9010-432B-BEF4-3E47E4843117}"/>
</file>

<file path=customXml/itemProps2.xml><?xml version="1.0" encoding="utf-8"?>
<ds:datastoreItem xmlns:ds="http://schemas.openxmlformats.org/officeDocument/2006/customXml" ds:itemID="{44B7E30A-CEE3-44D9-84B2-49BCD7E9BC46}"/>
</file>

<file path=customXml/itemProps3.xml><?xml version="1.0" encoding="utf-8"?>
<ds:datastoreItem xmlns:ds="http://schemas.openxmlformats.org/officeDocument/2006/customXml" ds:itemID="{FE01D256-87AE-411A-B205-B96283B75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Крамчанинова Ольга Сергеевна</cp:lastModifiedBy>
  <cp:revision>2</cp:revision>
  <cp:lastPrinted>2020-12-25T12:09:00Z</cp:lastPrinted>
  <dcterms:created xsi:type="dcterms:W3CDTF">2021-02-16T07:55:00Z</dcterms:created>
  <dcterms:modified xsi:type="dcterms:W3CDTF">2021-02-16T07:55:00Z</dcterms:modified>
</cp:coreProperties>
</file>