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B62A0B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</w:t>
            </w:r>
            <w:bookmarkStart w:id="0" w:name="_GoBack"/>
            <w:bookmarkEnd w:id="0"/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FDC15-172E-4F9B-8C2D-0EABF7F2C5F6}"/>
</file>

<file path=customXml/itemProps2.xml><?xml version="1.0" encoding="utf-8"?>
<ds:datastoreItem xmlns:ds="http://schemas.openxmlformats.org/officeDocument/2006/customXml" ds:itemID="{5FB743B0-F5CA-4BFB-A8B9-626DA1DA46CD}"/>
</file>

<file path=customXml/itemProps3.xml><?xml version="1.0" encoding="utf-8"?>
<ds:datastoreItem xmlns:ds="http://schemas.openxmlformats.org/officeDocument/2006/customXml" ds:itemID="{E8366A69-4F4D-4E28-BB73-0DF4E74EF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2023-02-27T12:43:00Z</dcterms:modified>
</cp:coreProperties>
</file>