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CE2E00" w:rsidRDefault="00FB46AA" w:rsidP="00FB46AA">
      <w:pPr>
        <w:widowControl/>
        <w:autoSpaceDE/>
        <w:autoSpaceDN/>
        <w:adjustRightInd/>
        <w:spacing w:line="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РЕГИОНАЛЬНОЕ СТАТИСТИЧЕСКОЕ НАБЛЮДЕНИЕ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Хозяйствующий субъект   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  <w:r w:rsidRPr="00CE2E00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Код ОКПО  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Почтовый адрес  ________________________________________________________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268"/>
      </w:tblGrid>
      <w:tr w:rsidR="00FB46AA" w:rsidRPr="00CE2E00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МП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(регион-</w:t>
            </w:r>
            <w:proofErr w:type="spellStart"/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инвест</w:t>
            </w:r>
            <w:proofErr w:type="spellEnd"/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B46AA" w:rsidRPr="00CE2E00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57D0E196" wp14:editId="036B1AA0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2065" r="11430" b="1714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11.05pt;margin-top:80.55pt;width:116.75pt;height:1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3/JAIAAD8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Nwrvf8kAgAAPw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являющиеся субъектами малого предпринимательства (включая </w:t>
            </w:r>
            <w:proofErr w:type="spellStart"/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Государственным контрактом 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Облкомэконом</w:t>
            </w:r>
            <w:proofErr w:type="spellEnd"/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-развития</w:t>
            </w: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FB46AA" w:rsidRPr="00CE2E00" w:rsidTr="00A4781E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ИНВЕСТИЦИЯХ В ОСНОВНОЙ КАПИТАЛ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ПРЕДПРИЯТИЯ</w:t>
            </w: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E92B84" wp14:editId="1237340F">
                <wp:simplePos x="0" y="0"/>
                <wp:positionH relativeFrom="column">
                  <wp:posOffset>7693660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0795" t="10795" r="11430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5.8pt;margin-top:24.05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Vo9cuIgIAAD0EAAAOAAAAAAAAAAAAAAAAAC4CAABkcnMvZTJvRG9j&#10;LnhtbFBLAQItABQABgAIAAAAIQAZnTkc4QAAAAsBAAAPAAAAAAAAAAAAAAAAAHwEAABkcnMvZG93&#10;bnJldi54bWxQSwUGAAAAAAQABADzAAAAigUAAAAA&#10;" o:allowincell="f" fillcolor="#f2f2f2" strokeweight="1.25pt"/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D4D367" wp14:editId="01BEF9DA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0" t="1905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6AA" w:rsidRDefault="00FB46AA" w:rsidP="00FB46A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.9pt;margin-top:1.9pt;width:734.45pt;height:20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" o:allowincell="f" filled="f" stroked="f">
                <v:textbox inset="1pt,1pt,1pt,1pt">
                  <w:txbxContent>
                    <w:p w:rsidR="00FB46AA" w:rsidRDefault="00FB46AA" w:rsidP="00FB46A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Инвестиции в основной капитал</w:t>
      </w:r>
    </w:p>
    <w:p w:rsidR="00FB46AA" w:rsidRPr="00CE2E00" w:rsidRDefault="00FB46AA" w:rsidP="00FB46AA">
      <w:pPr>
        <w:keepNext/>
        <w:widowControl/>
        <w:autoSpaceDE/>
        <w:autoSpaceDN/>
        <w:adjustRightInd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 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6"/>
        <w:gridCol w:w="992"/>
        <w:gridCol w:w="1418"/>
      </w:tblGrid>
      <w:tr w:rsidR="00FB46AA" w:rsidRPr="00CE2E00" w:rsidTr="00A4781E">
        <w:trPr>
          <w:cantSplit/>
          <w:trHeight w:val="808"/>
        </w:trPr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26"/>
        </w:trPr>
        <w:tc>
          <w:tcPr>
            <w:tcW w:w="694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7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- жилые здания и помещения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- здания (кроме 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сооружения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информационное, компьютерное и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телекоммуникационное (</w:t>
            </w:r>
            <w:r w:rsidRPr="00CE2E00">
              <w:rPr>
                <w:rFonts w:ascii="Times New Roman" w:hAnsi="Times New Roman" w:cs="Times New Roman"/>
                <w:caps/>
                <w:sz w:val="24"/>
                <w:szCs w:val="24"/>
              </w:rPr>
              <w:t>икт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 оборудование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машины и оборудование, включая хозяйственный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инвентарь, и 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657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83D52C" wp14:editId="5A95BC92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52070</wp:posOffset>
                      </wp:positionV>
                      <wp:extent cx="1573530" cy="309245"/>
                      <wp:effectExtent l="12065" t="13335" r="14605" b="10795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17.4pt;margin-top:4.1pt;width:123.9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Из строки 01 - по видам деятельности</w:t>
            </w:r>
          </w:p>
          <w:p w:rsidR="00FB46AA" w:rsidRPr="00CE2E00" w:rsidRDefault="00FB46AA" w:rsidP="00A4781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67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7017BD" wp14:editId="104B7A5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44450</wp:posOffset>
                      </wp:positionV>
                      <wp:extent cx="1573530" cy="318770"/>
                      <wp:effectExtent l="12065" t="10160" r="14605" b="13970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17.4pt;margin-top:3.5pt;width:123.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8cnwIAAA0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  <w:proofErr w:type="gramStart"/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707"/>
        </w:trPr>
        <w:tc>
          <w:tcPr>
            <w:tcW w:w="69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A021EF" wp14:editId="2C42A39E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33655</wp:posOffset>
                      </wp:positionV>
                      <wp:extent cx="1573530" cy="345440"/>
                      <wp:effectExtent l="12065" t="6350" r="14605" b="1016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17.4pt;margin-top:2.65pt;width:123.9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noProof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</w:trPr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  Источники инвестиций</w:t>
      </w:r>
    </w:p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                                                </w:t>
      </w:r>
    </w:p>
    <w:tbl>
      <w:tblPr>
        <w:tblpPr w:leftFromText="180" w:rightFromText="180" w:vertAnchor="text" w:horzAnchor="margin" w:tblpY="56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  <w:gridCol w:w="992"/>
        <w:gridCol w:w="1560"/>
      </w:tblGrid>
      <w:tr w:rsidR="00FB46AA" w:rsidRPr="00CE2E00" w:rsidTr="00A4781E">
        <w:trPr>
          <w:cantSplit/>
        </w:trPr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52"/>
        </w:trPr>
        <w:tc>
          <w:tcPr>
            <w:tcW w:w="7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98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-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                                              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>ответственное за              ________________        ___________________    ______________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формы             </w:t>
      </w:r>
      <w:r w:rsidRPr="00CE2E00">
        <w:rPr>
          <w:rFonts w:ascii="Times New Roman" w:hAnsi="Times New Roman" w:cs="Times New Roman"/>
          <w:sz w:val="24"/>
          <w:szCs w:val="24"/>
        </w:rPr>
        <w:t>(должность)                            (Ф.И.О.)                    (подпись)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_________________________       __________________         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(номер контактного телефона)                 (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2E00">
        <w:rPr>
          <w:rFonts w:ascii="Times New Roman" w:hAnsi="Times New Roman" w:cs="Times New Roman"/>
          <w:sz w:val="24"/>
          <w:szCs w:val="24"/>
        </w:rPr>
        <w:t>-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2E00">
        <w:rPr>
          <w:rFonts w:ascii="Times New Roman" w:hAnsi="Times New Roman" w:cs="Times New Roman"/>
          <w:sz w:val="24"/>
          <w:szCs w:val="24"/>
        </w:rPr>
        <w:t>)                      (дата составления документа)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по заполнению формы федерального статистического наблюдения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2E00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представляют собой</w:t>
      </w:r>
      <w:r w:rsidRPr="00CE2E00">
        <w:rPr>
          <w:rFonts w:ascii="Times New Roman" w:hAnsi="Times New Roman" w:cs="Times New Roman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на строительство, реконструкцию (включая расширение и модернизацию) объектов, которые приводят к увеличению их первоначальной стоимости и повышению полезного эффекта использования,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т.д., инвестиции в объекты интеллектуальной собственности: программное обеспечение и базы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данных, оригиналы произведений развлекательного жанра, литературы и искусства, научные исследования и разработки, создание и приобретение изобретений, полезных моделей и промышленных образцов, разведка недр и оценка запасов полезных ископаемых, включая произведенные нематериальные поисковые затраты.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Данные в форме приводятся без налога на добавленную стоимость.</w:t>
      </w:r>
    </w:p>
    <w:p w:rsidR="00FB46AA" w:rsidRPr="00912495" w:rsidRDefault="00FB46AA" w:rsidP="00FB46A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12495">
        <w:rPr>
          <w:rFonts w:ascii="Times New Roman" w:hAnsi="Times New Roman" w:cs="Times New Roman"/>
          <w:sz w:val="24"/>
          <w:szCs w:val="24"/>
        </w:rPr>
        <w:t xml:space="preserve">Для организаций лимит стоимости предметов для принятия к бухгалтерскому учету в составе основных средств определяется руководителем организации (в соответствии </w:t>
      </w:r>
      <w:r w:rsidRPr="00912495">
        <w:rPr>
          <w:rFonts w:ascii="Times New Roman" w:hAnsi="Times New Roman" w:cs="Times New Roman"/>
          <w:sz w:val="24"/>
          <w:szCs w:val="24"/>
        </w:rPr>
        <w:br/>
        <w:t xml:space="preserve">с приказом Министерства финансов Российской Федерации от 17 сентября 2020 г. № 204н «Об утверждении федеральных стандартов бухгалтерского учета ФСБУ 6/2020 «Основные средства и ФСБУ 26/2020 «Капитальные вложения») (зарегистрировано Минюстом России 15 октября 2020 г., регистрационный № 60399). </w:t>
      </w:r>
      <w:proofErr w:type="gramEnd"/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юридическими лицами в собственность земельных участков, объектов природопользования, контрактов, договоров аренды, лицензий;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переданные с</w:t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 баланса на баланс организации основные фонды.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сведения о размере инвестиций в основной капитал.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инвестиции в основной капитал: затраты на строительство, реконструкцию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CE2E0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E2E00">
        <w:rPr>
          <w:rFonts w:ascii="Times New Roman" w:hAnsi="Times New Roman" w:cs="Times New Roman"/>
          <w:sz w:val="24"/>
          <w:szCs w:val="24"/>
        </w:rPr>
        <w:t xml:space="preserve"> активы.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02 - 04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строительство, реконструкцию зданий и сооружений, которые складываются из выполненных строительных работ и приходящихся на них прочих капитальных затрат.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05 </w:t>
      </w:r>
      <w:r w:rsidRPr="00CE2E00">
        <w:rPr>
          <w:rFonts w:ascii="Times New Roman" w:hAnsi="Times New Roman" w:cs="Times New Roman"/>
          <w:sz w:val="24"/>
          <w:szCs w:val="24"/>
        </w:rPr>
        <w:t>отражаются затраты на приобретение транспортных средств: железнодорожного подвижного состава,  подвижного морского и внутреннего водного, автомобильного, воздушного, городского электрического транспорта.</w:t>
      </w:r>
      <w:r w:rsidRPr="00CE2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06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информационного, компьютерного и телекоммуникационного оборудования. К нему относятся информационное оборудование, комплектные машины и оборудование, предназначенные для преобразования и хранения информации, в состав которых могут входить устройства электронного управления, электронные и прочие компоненты, являющиеся частями этих машин и оборудования. К оборудованию 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также относятся различного типа вычислительные машины, включая вычислительные сети, самостоятельные устройства ввода-вывода данных, а также оборудование систем связи </w:t>
      </w: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передающая и приемная аппаратура для радиосвязи, радиовещания и телевидения, аппаратура электросвязи.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07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прочих машин и оборудования, а также затраты на монтаж энергетического, подъемно-транспортного, насосно-</w:t>
      </w:r>
      <w:r w:rsidRPr="00CE2E00">
        <w:rPr>
          <w:rFonts w:ascii="Times New Roman" w:hAnsi="Times New Roman" w:cs="Times New Roman"/>
          <w:sz w:val="24"/>
          <w:szCs w:val="24"/>
        </w:rPr>
        <w:lastRenderedPageBreak/>
        <w:t xml:space="preserve">компрессорного и другого оборудования на месте его постоянной эксплуатации, проверку и испытание качества монтажа. В эту строку также включаются затраты на приобретение производственного и хозяйственного инвентаря (включая мебель). </w:t>
      </w:r>
    </w:p>
    <w:p w:rsidR="00FB46AA" w:rsidRPr="001404D9" w:rsidRDefault="00FB46AA" w:rsidP="00FB46AA">
      <w:pPr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08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прочие инвестиции в основной капитал, не перечисленные в строках 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E00">
        <w:rPr>
          <w:rFonts w:ascii="Times New Roman" w:hAnsi="Times New Roman" w:cs="Times New Roman"/>
          <w:sz w:val="24"/>
          <w:szCs w:val="24"/>
        </w:rPr>
        <w:t xml:space="preserve"> 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1404D9">
        <w:rPr>
          <w:rFonts w:ascii="Times New Roman" w:hAnsi="Times New Roman" w:cs="Times New Roman"/>
          <w:sz w:val="24"/>
          <w:szCs w:val="24"/>
        </w:rPr>
        <w:t>затраты на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расходы по организации и проведению подрядных торгов; затраты на приобретение оружия (кроме используемого в целях обеспечения военной безопасности государства); стоимость расходов на передачу прав собственности при покупке непроизведенных активов (кроме земельных участков);</w:t>
      </w:r>
      <w:proofErr w:type="gramEnd"/>
      <w:r w:rsidRPr="001404D9">
        <w:rPr>
          <w:rFonts w:ascii="Times New Roman" w:hAnsi="Times New Roman" w:cs="Times New Roman"/>
          <w:sz w:val="24"/>
          <w:szCs w:val="24"/>
        </w:rPr>
        <w:t xml:space="preserve"> другие, не перечисленные выше расходы и затраты в основные средства.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09 – 11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), исходя из той сферы деятельности, в рамках которой будут функционировать создаваемые или приобретаемые основные фонды. Например, если осуществляется строительство цеха по производству кирпича, то инвестиции по такому объекту отражаются по виду деятельности 23.32 «производство кирпича, черепицы и прочих строительных изделий из обожженной глины»; строительство общеобразовательных школ - по виду деятельности 85.14 «образование среднее общее». По кодам 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 xml:space="preserve"> 41.10 - 43.99.9 показываются затраты по созданию и дальнейшему развитию материально-технической базы подразделений, занимающихся строительством.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приводится информация о распределении инвестиций в основной капитал по источникам финансирования.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собственные средства юридических лиц, направленные на инвестирование в основные фонды: прибыль, полученная за счет средств основной деятельности, вклады учредителей в уставный капитал организации, средства, выплачиваемые органами страхования в виде возмещения потерь от аварий, стихийных бедствий.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13 </w:t>
      </w:r>
      <w:r w:rsidRPr="00CE2E00">
        <w:rPr>
          <w:rFonts w:ascii="Times New Roman" w:hAnsi="Times New Roman" w:cs="Times New Roman"/>
          <w:sz w:val="24"/>
          <w:szCs w:val="24"/>
        </w:rPr>
        <w:t>учитываются инвестиции, включающие средства бюджетов, кредиты, техническую и гуманитарную помощь, договор мены.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CE2E00">
        <w:rPr>
          <w:rFonts w:ascii="Times New Roman" w:hAnsi="Times New Roman" w:cs="Times New Roman"/>
          <w:b/>
          <w:sz w:val="24"/>
          <w:szCs w:val="24"/>
        </w:rPr>
        <w:t>По строке 14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бюджетов всех уровней, выделяемых на возвратной и безвозвратной основе (включая средства целевых бюджетных фондов): федерального, субъектов Российской Федерации, местных бюджетов.</w:t>
      </w:r>
      <w:proofErr w:type="gramEnd"/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15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федерального бюджета, выделяемых на возвратной и безвозвратной основе (включая средства целевых бюджетных фондов).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Контроль показателей формы:</w:t>
      </w: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02 + стр. 03 + стр. 04 + стр. 05 + стр. 06 + стр. 07 + стр. 08);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09 + стр. 10 + стр. 11) по кодам ОКВЭД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12 + стр. 13);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Стр.13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38BBD6B" wp14:editId="72EE5D40">
            <wp:extent cx="146685" cy="172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тр.14.</w:t>
      </w:r>
    </w:p>
    <w:p w:rsidR="00FB46AA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Стр.14</w:t>
      </w:r>
      <w:proofErr w:type="gramStart"/>
      <w:r w:rsidRPr="00CE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D7C66F9" wp14:editId="688728B5">
            <wp:extent cx="146685" cy="17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2E00">
        <w:rPr>
          <w:rFonts w:ascii="Times New Roman" w:hAnsi="Times New Roman" w:cs="Times New Roman"/>
          <w:sz w:val="24"/>
          <w:szCs w:val="24"/>
        </w:rPr>
        <w:t>тр.15.</w:t>
      </w:r>
    </w:p>
    <w:sectPr w:rsidR="00FB46AA" w:rsidSect="00A459CB">
      <w:headerReference w:type="default" r:id="rId8"/>
      <w:footerReference w:type="default" r:id="rId9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C0" w:rsidRDefault="00912495">
      <w:r>
        <w:separator/>
      </w:r>
    </w:p>
  </w:endnote>
  <w:endnote w:type="continuationSeparator" w:id="0">
    <w:p w:rsidR="00913BC0" w:rsidRDefault="009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1" w:rsidRPr="00392515" w:rsidRDefault="00A24B76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C0" w:rsidRDefault="00912495">
      <w:r>
        <w:separator/>
      </w:r>
    </w:p>
  </w:footnote>
  <w:footnote w:type="continuationSeparator" w:id="0">
    <w:p w:rsidR="00913BC0" w:rsidRDefault="0091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B7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A24B76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A"/>
    <w:rsid w:val="00912495"/>
    <w:rsid w:val="00913BC0"/>
    <w:rsid w:val="00A24B76"/>
    <w:rsid w:val="00A92471"/>
    <w:rsid w:val="00B628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F0BDE-E68E-41EB-B25C-264399D3FF04}"/>
</file>

<file path=customXml/itemProps2.xml><?xml version="1.0" encoding="utf-8"?>
<ds:datastoreItem xmlns:ds="http://schemas.openxmlformats.org/officeDocument/2006/customXml" ds:itemID="{9EF83B7B-469C-41F8-BFFB-FF65241B2E61}"/>
</file>

<file path=customXml/itemProps3.xml><?xml version="1.0" encoding="utf-8"?>
<ds:datastoreItem xmlns:ds="http://schemas.openxmlformats.org/officeDocument/2006/customXml" ds:itemID="{967D9DE4-A12A-4C66-AF0B-3B001EA44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Сердюкова Татьяна Васильевна</cp:lastModifiedBy>
  <cp:revision>2</cp:revision>
  <dcterms:created xsi:type="dcterms:W3CDTF">2023-01-21T12:53:00Z</dcterms:created>
  <dcterms:modified xsi:type="dcterms:W3CDTF">2023-01-21T12:53:00Z</dcterms:modified>
</cp:coreProperties>
</file>