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3EBB5BAD" w:rsidR="0038734D" w:rsidRPr="00A3411B" w:rsidRDefault="00B54093" w:rsidP="00A3411B">
      <w:pPr>
        <w:keepNext/>
        <w:keepLines/>
        <w:spacing w:before="0" w:after="0" w:line="288" w:lineRule="auto"/>
        <w:ind w:firstLine="0"/>
        <w:jc w:val="center"/>
        <w:rPr>
          <w:b/>
          <w:color w:val="FF0000"/>
          <w:sz w:val="28"/>
          <w:szCs w:val="28"/>
        </w:rPr>
      </w:pPr>
      <w:r>
        <w:rPr>
          <w:b/>
          <w:color w:val="FF0000"/>
          <w:spacing w:val="52"/>
          <w:sz w:val="28"/>
          <w:szCs w:val="28"/>
        </w:rPr>
        <w:t>№ 909</w:t>
      </w:r>
      <w:r w:rsidR="00AF081E">
        <w:rPr>
          <w:b/>
          <w:color w:val="FF0000"/>
          <w:spacing w:val="52"/>
          <w:sz w:val="28"/>
          <w:szCs w:val="28"/>
        </w:rPr>
        <w:t xml:space="preserve"> от </w:t>
      </w:r>
      <w:r>
        <w:rPr>
          <w:b/>
          <w:color w:val="FF0000"/>
          <w:spacing w:val="52"/>
          <w:sz w:val="28"/>
          <w:szCs w:val="28"/>
        </w:rPr>
        <w:t>28</w:t>
      </w:r>
      <w:r w:rsidR="0008490F">
        <w:rPr>
          <w:b/>
          <w:color w:val="FF0000"/>
          <w:spacing w:val="52"/>
          <w:sz w:val="28"/>
          <w:szCs w:val="28"/>
        </w:rPr>
        <w:t>.02</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70293A6C"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B54093">
              <w:rPr>
                <w:rFonts w:eastAsia="Calibri"/>
                <w:b/>
                <w:szCs w:val="26"/>
                <w:lang w:eastAsia="en-US"/>
              </w:rPr>
              <w:t>26.02.2024 № 1235</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0D3BC258" w:rsidR="005123F4" w:rsidRPr="00A3411B" w:rsidRDefault="005123F4" w:rsidP="00B54093">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B54093">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407"/>
        <w:gridCol w:w="1714"/>
        <w:gridCol w:w="1698"/>
        <w:gridCol w:w="851"/>
        <w:gridCol w:w="1701"/>
        <w:gridCol w:w="1417"/>
        <w:gridCol w:w="2268"/>
        <w:gridCol w:w="992"/>
        <w:gridCol w:w="964"/>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B741C0">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0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14"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698"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7"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964"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B741C0">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6ED11EA9" w14:textId="77777777" w:rsidR="00B54093" w:rsidRPr="00B54093" w:rsidRDefault="00B54093" w:rsidP="00B54093">
            <w:pPr>
              <w:spacing w:before="0" w:after="0"/>
              <w:ind w:firstLine="0"/>
              <w:jc w:val="center"/>
              <w:rPr>
                <w:sz w:val="20"/>
              </w:rPr>
            </w:pPr>
            <w:r w:rsidRPr="00B54093">
              <w:rPr>
                <w:sz w:val="20"/>
              </w:rPr>
              <w:t>Нежилое помещение (цокольный этаж)</w:t>
            </w:r>
          </w:p>
          <w:p w14:paraId="679233AD" w14:textId="77777777" w:rsidR="00B54093" w:rsidRPr="00B54093" w:rsidRDefault="00B54093" w:rsidP="00B54093">
            <w:pPr>
              <w:spacing w:before="0" w:after="0"/>
              <w:ind w:firstLine="0"/>
              <w:jc w:val="center"/>
              <w:rPr>
                <w:sz w:val="20"/>
              </w:rPr>
            </w:pPr>
            <w:r w:rsidRPr="00B54093">
              <w:rPr>
                <w:sz w:val="20"/>
              </w:rPr>
              <w:t>кадастровый номер</w:t>
            </w:r>
          </w:p>
          <w:p w14:paraId="06AE3FCE" w14:textId="6ED55E78" w:rsidR="00B943B8" w:rsidRPr="00A3411B" w:rsidRDefault="00B54093" w:rsidP="00B54093">
            <w:pPr>
              <w:ind w:firstLine="0"/>
              <w:jc w:val="center"/>
              <w:rPr>
                <w:rFonts w:eastAsia="Calibri"/>
                <w:szCs w:val="26"/>
                <w:lang w:eastAsia="en-US"/>
              </w:rPr>
            </w:pPr>
            <w:r w:rsidRPr="00B54093">
              <w:rPr>
                <w:sz w:val="20"/>
              </w:rPr>
              <w:t>34:34:040022:8225</w:t>
            </w:r>
            <w:bookmarkStart w:id="2" w:name="dogadr"/>
            <w:bookmarkEnd w:id="2"/>
          </w:p>
        </w:tc>
        <w:tc>
          <w:tcPr>
            <w:tcW w:w="1407" w:type="dxa"/>
          </w:tcPr>
          <w:p w14:paraId="618D1B13" w14:textId="77777777" w:rsidR="00B54093" w:rsidRPr="00B54093" w:rsidRDefault="00B54093" w:rsidP="00B54093">
            <w:pPr>
              <w:ind w:firstLine="0"/>
              <w:jc w:val="center"/>
              <w:rPr>
                <w:sz w:val="20"/>
              </w:rPr>
            </w:pPr>
            <w:r w:rsidRPr="00B54093">
              <w:rPr>
                <w:sz w:val="20"/>
              </w:rPr>
              <w:t xml:space="preserve">Волгоград, Центральный район, </w:t>
            </w:r>
          </w:p>
          <w:p w14:paraId="368029A3" w14:textId="7E987CB8" w:rsidR="00B943B8" w:rsidRPr="00A3411B" w:rsidRDefault="00B54093" w:rsidP="00B54093">
            <w:pPr>
              <w:ind w:firstLine="0"/>
              <w:jc w:val="center"/>
              <w:rPr>
                <w:rFonts w:eastAsia="Calibri"/>
                <w:szCs w:val="26"/>
                <w:highlight w:val="yellow"/>
                <w:lang w:eastAsia="en-US"/>
              </w:rPr>
            </w:pPr>
            <w:r w:rsidRPr="00B54093">
              <w:rPr>
                <w:sz w:val="20"/>
              </w:rPr>
              <w:t xml:space="preserve">ул. Невская, </w:t>
            </w:r>
            <w:r>
              <w:rPr>
                <w:sz w:val="20"/>
              </w:rPr>
              <w:t xml:space="preserve">д. </w:t>
            </w:r>
            <w:r w:rsidRPr="00B54093">
              <w:rPr>
                <w:sz w:val="20"/>
              </w:rPr>
              <w:t>16</w:t>
            </w:r>
          </w:p>
        </w:tc>
        <w:tc>
          <w:tcPr>
            <w:tcW w:w="1714" w:type="dxa"/>
          </w:tcPr>
          <w:p w14:paraId="209DF4EC" w14:textId="77777777" w:rsidR="00B54093" w:rsidRPr="00B54093" w:rsidRDefault="00B54093" w:rsidP="00B54093">
            <w:pPr>
              <w:ind w:firstLine="0"/>
              <w:rPr>
                <w:sz w:val="20"/>
              </w:rPr>
            </w:pPr>
            <w:r w:rsidRPr="00B54093">
              <w:rPr>
                <w:sz w:val="20"/>
              </w:rPr>
              <w:t xml:space="preserve">Вход со двора, санузел общий </w:t>
            </w:r>
          </w:p>
          <w:p w14:paraId="66C9D534" w14:textId="77777777" w:rsidR="00B54093" w:rsidRPr="00B54093" w:rsidRDefault="00B54093" w:rsidP="00B54093">
            <w:pPr>
              <w:ind w:firstLine="0"/>
              <w:rPr>
                <w:sz w:val="20"/>
              </w:rPr>
            </w:pPr>
            <w:r w:rsidRPr="00B54093">
              <w:rPr>
                <w:sz w:val="20"/>
              </w:rPr>
              <w:t>с другими пользователями. Имеются все системы инженерного обеспечения.</w:t>
            </w:r>
          </w:p>
          <w:p w14:paraId="39C5FE90" w14:textId="68051E91" w:rsidR="00B943B8" w:rsidRPr="00A3411B" w:rsidRDefault="00B54093" w:rsidP="00B54093">
            <w:pPr>
              <w:ind w:firstLine="0"/>
              <w:rPr>
                <w:rFonts w:eastAsia="Calibri"/>
                <w:szCs w:val="26"/>
                <w:highlight w:val="yellow"/>
                <w:lang w:eastAsia="en-US"/>
              </w:rPr>
            </w:pPr>
            <w:r w:rsidRPr="00B54093">
              <w:rPr>
                <w:sz w:val="20"/>
              </w:rPr>
              <w:t>Состояние удовлетворительное</w:t>
            </w:r>
          </w:p>
        </w:tc>
        <w:tc>
          <w:tcPr>
            <w:tcW w:w="1698" w:type="dxa"/>
          </w:tcPr>
          <w:p w14:paraId="4A153352" w14:textId="6FF526E7" w:rsidR="00B943B8" w:rsidRPr="00FB5080" w:rsidRDefault="00B54093" w:rsidP="00160391">
            <w:pPr>
              <w:ind w:firstLine="0"/>
              <w:jc w:val="center"/>
              <w:rPr>
                <w:rFonts w:eastAsia="Calibri"/>
                <w:sz w:val="20"/>
                <w:highlight w:val="yellow"/>
                <w:lang w:eastAsia="en-US"/>
              </w:rPr>
            </w:pPr>
            <w:proofErr w:type="gramStart"/>
            <w:r w:rsidRPr="00B54093">
              <w:rPr>
                <w:rFonts w:eastAsia="Verdana"/>
                <w:sz w:val="20"/>
              </w:rPr>
              <w:t>Деятельность</w:t>
            </w:r>
            <w:proofErr w:type="gramEnd"/>
            <w:r w:rsidRPr="00B54093">
              <w:rPr>
                <w:rFonts w:eastAsia="Verdana"/>
                <w:sz w:val="20"/>
              </w:rPr>
              <w:t xml:space="preserve"> не запрещенная действующим законодательством РФ</w:t>
            </w:r>
          </w:p>
        </w:tc>
        <w:tc>
          <w:tcPr>
            <w:tcW w:w="851" w:type="dxa"/>
          </w:tcPr>
          <w:p w14:paraId="6A493013" w14:textId="447917F3" w:rsidR="006666D3" w:rsidRPr="00160391" w:rsidRDefault="00B54093" w:rsidP="00FA390B">
            <w:pPr>
              <w:ind w:firstLine="0"/>
              <w:jc w:val="center"/>
              <w:rPr>
                <w:rFonts w:eastAsia="Calibri"/>
                <w:sz w:val="20"/>
                <w:highlight w:val="yellow"/>
                <w:lang w:eastAsia="en-US"/>
              </w:rPr>
            </w:pPr>
            <w:r w:rsidRPr="00B54093">
              <w:rPr>
                <w:sz w:val="20"/>
              </w:rPr>
              <w:t xml:space="preserve">9,4 </w:t>
            </w:r>
          </w:p>
        </w:tc>
        <w:tc>
          <w:tcPr>
            <w:tcW w:w="1701" w:type="dxa"/>
          </w:tcPr>
          <w:p w14:paraId="40639F1C" w14:textId="77777777" w:rsidR="00B54093" w:rsidRPr="00B54093" w:rsidRDefault="00B54093" w:rsidP="00B54093">
            <w:pPr>
              <w:spacing w:before="0" w:after="0"/>
              <w:ind w:firstLine="0"/>
              <w:jc w:val="center"/>
              <w:rPr>
                <w:sz w:val="20"/>
              </w:rPr>
            </w:pPr>
            <w:r w:rsidRPr="00B54093">
              <w:rPr>
                <w:sz w:val="20"/>
              </w:rPr>
              <w:t>№ 34:34:040022:8225-34/117/2020-1</w:t>
            </w:r>
          </w:p>
          <w:p w14:paraId="4F8ED5C7" w14:textId="48DBCF63" w:rsidR="00B943B8" w:rsidRPr="00247527" w:rsidRDefault="00B54093" w:rsidP="00B54093">
            <w:pPr>
              <w:spacing w:before="0" w:after="0"/>
              <w:ind w:firstLine="0"/>
              <w:jc w:val="center"/>
              <w:rPr>
                <w:sz w:val="20"/>
              </w:rPr>
            </w:pPr>
            <w:r w:rsidRPr="00B54093">
              <w:rPr>
                <w:sz w:val="20"/>
              </w:rPr>
              <w:t>от 10.01.2020</w:t>
            </w:r>
          </w:p>
        </w:tc>
        <w:tc>
          <w:tcPr>
            <w:tcW w:w="1417" w:type="dxa"/>
          </w:tcPr>
          <w:p w14:paraId="5FF04687" w14:textId="77777777" w:rsidR="00B54093" w:rsidRPr="00B54093" w:rsidRDefault="00B54093" w:rsidP="00B54093">
            <w:pPr>
              <w:ind w:firstLine="0"/>
              <w:jc w:val="center"/>
              <w:rPr>
                <w:sz w:val="20"/>
                <w:lang w:eastAsia="en-US"/>
              </w:rPr>
            </w:pPr>
            <w:r w:rsidRPr="00B54093">
              <w:rPr>
                <w:sz w:val="20"/>
                <w:lang w:eastAsia="en-US"/>
              </w:rPr>
              <w:t xml:space="preserve">Заключен договор аренды № 3/4621 от 15.02.2024 </w:t>
            </w:r>
          </w:p>
          <w:p w14:paraId="06D81E8D" w14:textId="1FCE9026" w:rsidR="00B943B8" w:rsidRPr="00160391" w:rsidRDefault="00B54093" w:rsidP="00B54093">
            <w:pPr>
              <w:ind w:firstLine="0"/>
              <w:jc w:val="center"/>
              <w:rPr>
                <w:rFonts w:eastAsia="Calibri"/>
                <w:sz w:val="20"/>
                <w:highlight w:val="yellow"/>
                <w:lang w:eastAsia="en-US"/>
              </w:rPr>
            </w:pPr>
            <w:r w:rsidRPr="00B54093">
              <w:rPr>
                <w:sz w:val="20"/>
                <w:lang w:eastAsia="en-US"/>
              </w:rPr>
              <w:t xml:space="preserve">на срок 30 дней с                 ООО «СП </w:t>
            </w:r>
            <w:proofErr w:type="spellStart"/>
            <w:r w:rsidRPr="00B54093">
              <w:rPr>
                <w:sz w:val="20"/>
                <w:lang w:eastAsia="en-US"/>
              </w:rPr>
              <w:t>Лифтовик</w:t>
            </w:r>
            <w:proofErr w:type="spellEnd"/>
            <w:r w:rsidRPr="00B54093">
              <w:rPr>
                <w:sz w:val="20"/>
                <w:lang w:eastAsia="en-US"/>
              </w:rPr>
              <w:t>»</w:t>
            </w:r>
          </w:p>
        </w:tc>
        <w:tc>
          <w:tcPr>
            <w:tcW w:w="2268" w:type="dxa"/>
          </w:tcPr>
          <w:p w14:paraId="4D44099E" w14:textId="77777777" w:rsidR="00B54093" w:rsidRDefault="00B54093" w:rsidP="00E50420">
            <w:pPr>
              <w:ind w:firstLine="0"/>
              <w:jc w:val="center"/>
              <w:rPr>
                <w:sz w:val="20"/>
              </w:rPr>
            </w:pPr>
            <w:r w:rsidRPr="00B54093">
              <w:rPr>
                <w:sz w:val="20"/>
              </w:rPr>
              <w:t>1 258,85</w:t>
            </w:r>
          </w:p>
          <w:p w14:paraId="0EB204D8" w14:textId="122A3CCC" w:rsidR="00B943B8" w:rsidRPr="00FA390B" w:rsidRDefault="00160391" w:rsidP="00B54093">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3F0F38">
              <w:rPr>
                <w:sz w:val="20"/>
              </w:rPr>
              <w:t xml:space="preserve">№ </w:t>
            </w:r>
            <w:r w:rsidR="00B54093">
              <w:rPr>
                <w:sz w:val="20"/>
              </w:rPr>
              <w:t xml:space="preserve">3745/23 </w:t>
            </w:r>
            <w:r w:rsidR="00B54093" w:rsidRPr="00B54093">
              <w:rPr>
                <w:sz w:val="20"/>
              </w:rPr>
              <w:t>от 25.11.2023</w:t>
            </w:r>
          </w:p>
        </w:tc>
        <w:tc>
          <w:tcPr>
            <w:tcW w:w="992" w:type="dxa"/>
          </w:tcPr>
          <w:p w14:paraId="7E551536" w14:textId="27A25EA2" w:rsidR="00B943B8" w:rsidRPr="00160391" w:rsidRDefault="00B54093" w:rsidP="00A3411B">
            <w:pPr>
              <w:ind w:firstLine="0"/>
              <w:rPr>
                <w:rFonts w:eastAsia="Calibri"/>
                <w:sz w:val="20"/>
                <w:highlight w:val="yellow"/>
                <w:lang w:eastAsia="en-US"/>
              </w:rPr>
            </w:pPr>
            <w:r w:rsidRPr="00B54093">
              <w:rPr>
                <w:rFonts w:eastAsia="Calibri"/>
                <w:sz w:val="20"/>
                <w:lang w:eastAsia="en-US"/>
              </w:rPr>
              <w:t>1 258,85</w:t>
            </w:r>
          </w:p>
        </w:tc>
        <w:tc>
          <w:tcPr>
            <w:tcW w:w="964" w:type="dxa"/>
          </w:tcPr>
          <w:p w14:paraId="291A2D80" w14:textId="584D3047" w:rsidR="00B943B8" w:rsidRPr="00160391" w:rsidRDefault="00B54093" w:rsidP="00A3411B">
            <w:pPr>
              <w:ind w:firstLine="0"/>
              <w:rPr>
                <w:rFonts w:eastAsia="Calibri"/>
                <w:sz w:val="20"/>
                <w:highlight w:val="yellow"/>
                <w:lang w:eastAsia="en-US"/>
              </w:rPr>
            </w:pPr>
            <w:r w:rsidRPr="00B54093">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1C4BEB17" w:rsidR="005D02FB" w:rsidRPr="00166084" w:rsidRDefault="005D02FB" w:rsidP="00A3411B">
            <w:pPr>
              <w:ind w:firstLine="0"/>
              <w:rPr>
                <w:rFonts w:eastAsia="Calibri"/>
                <w:szCs w:val="26"/>
                <w:lang w:eastAsia="en-US"/>
              </w:rPr>
            </w:pPr>
            <w:r w:rsidRPr="006E7069">
              <w:rPr>
                <w:rFonts w:eastAsia="Calibri"/>
                <w:szCs w:val="26"/>
                <w:lang w:eastAsia="en-US"/>
              </w:rPr>
              <w:t>«</w:t>
            </w:r>
            <w:r w:rsidR="00B54093">
              <w:rPr>
                <w:rFonts w:eastAsia="Calibri"/>
                <w:szCs w:val="26"/>
                <w:lang w:eastAsia="en-US"/>
              </w:rPr>
              <w:t>29</w:t>
            </w:r>
            <w:r w:rsidR="003F0F38">
              <w:rPr>
                <w:rFonts w:eastAsia="Calibri"/>
                <w:szCs w:val="26"/>
                <w:lang w:eastAsia="en-US"/>
              </w:rPr>
              <w:t xml:space="preserve">» </w:t>
            </w:r>
            <w:r w:rsidR="00B24366">
              <w:rPr>
                <w:rFonts w:eastAsia="Calibri"/>
                <w:szCs w:val="26"/>
                <w:lang w:eastAsia="en-US"/>
              </w:rPr>
              <w:t>февраля</w:t>
            </w:r>
            <w:r w:rsidR="003F0F38">
              <w:rPr>
                <w:rFonts w:eastAsia="Calibri"/>
                <w:szCs w:val="26"/>
                <w:lang w:eastAsia="en-US"/>
              </w:rPr>
              <w:t xml:space="preserve"> 2024</w:t>
            </w:r>
            <w:r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3791E1C6" w:rsidR="005D02FB" w:rsidRPr="00166084" w:rsidRDefault="00B54093" w:rsidP="00A3411B">
            <w:pPr>
              <w:ind w:firstLine="0"/>
              <w:rPr>
                <w:rFonts w:eastAsia="Calibri"/>
                <w:szCs w:val="26"/>
                <w:lang w:eastAsia="en-US"/>
              </w:rPr>
            </w:pPr>
            <w:r>
              <w:rPr>
                <w:rFonts w:eastAsia="Calibri"/>
                <w:szCs w:val="26"/>
                <w:lang w:eastAsia="en-US"/>
              </w:rPr>
              <w:t>«</w:t>
            </w:r>
            <w:r w:rsidR="0010655A">
              <w:rPr>
                <w:rFonts w:eastAsia="Calibri"/>
                <w:szCs w:val="26"/>
                <w:lang w:eastAsia="en-US"/>
              </w:rPr>
              <w:t>08</w:t>
            </w:r>
            <w:r w:rsidR="00756627">
              <w:rPr>
                <w:rFonts w:eastAsia="Calibri"/>
                <w:szCs w:val="26"/>
                <w:lang w:eastAsia="en-US"/>
              </w:rPr>
              <w:t xml:space="preserve">» </w:t>
            </w:r>
            <w:r>
              <w:rPr>
                <w:rFonts w:eastAsia="Calibri"/>
                <w:szCs w:val="26"/>
                <w:lang w:eastAsia="en-US"/>
              </w:rPr>
              <w:t>апреля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2C9781CE" w:rsidR="005D02FB" w:rsidRPr="00166084" w:rsidRDefault="00802589" w:rsidP="00A3411B">
            <w:pPr>
              <w:ind w:firstLine="0"/>
              <w:rPr>
                <w:rFonts w:eastAsia="Calibri"/>
                <w:szCs w:val="26"/>
                <w:lang w:eastAsia="en-US"/>
              </w:rPr>
            </w:pPr>
            <w:r w:rsidRPr="006E7069">
              <w:rPr>
                <w:rFonts w:eastAsia="Calibri"/>
                <w:szCs w:val="26"/>
                <w:lang w:eastAsia="en-US"/>
              </w:rPr>
              <w:t>«</w:t>
            </w:r>
            <w:r w:rsidR="0010655A">
              <w:rPr>
                <w:rFonts w:eastAsia="Calibri"/>
                <w:szCs w:val="26"/>
                <w:lang w:eastAsia="en-US"/>
              </w:rPr>
              <w:t>09</w:t>
            </w:r>
            <w:r w:rsidR="00166084" w:rsidRPr="006E7069">
              <w:rPr>
                <w:rFonts w:eastAsia="Calibri"/>
                <w:szCs w:val="26"/>
                <w:lang w:eastAsia="en-US"/>
              </w:rPr>
              <w:t xml:space="preserve">» </w:t>
            </w:r>
            <w:r w:rsidR="00B54093">
              <w:rPr>
                <w:rFonts w:eastAsia="Calibri"/>
                <w:szCs w:val="26"/>
                <w:lang w:eastAsia="en-US"/>
              </w:rPr>
              <w:t>апреля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605253C8" w:rsidR="005D02FB" w:rsidRPr="00166084" w:rsidRDefault="00802589" w:rsidP="00A3411B">
            <w:pPr>
              <w:ind w:firstLine="0"/>
              <w:rPr>
                <w:rFonts w:eastAsia="Calibri"/>
                <w:szCs w:val="26"/>
                <w:lang w:eastAsia="en-US"/>
              </w:rPr>
            </w:pPr>
            <w:r w:rsidRPr="006E7069">
              <w:rPr>
                <w:rFonts w:eastAsia="Calibri"/>
                <w:szCs w:val="26"/>
                <w:lang w:eastAsia="en-US"/>
              </w:rPr>
              <w:t>«</w:t>
            </w:r>
            <w:r w:rsidR="0010655A">
              <w:rPr>
                <w:rFonts w:eastAsia="Calibri"/>
                <w:szCs w:val="26"/>
                <w:lang w:eastAsia="en-US"/>
              </w:rPr>
              <w:t>10</w:t>
            </w:r>
            <w:r w:rsidR="00166084" w:rsidRPr="006E7069">
              <w:rPr>
                <w:rFonts w:eastAsia="Calibri"/>
                <w:szCs w:val="26"/>
                <w:lang w:eastAsia="en-US"/>
              </w:rPr>
              <w:t xml:space="preserve">» </w:t>
            </w:r>
            <w:r w:rsidR="00B54093">
              <w:rPr>
                <w:rFonts w:eastAsia="Calibri"/>
                <w:szCs w:val="26"/>
                <w:lang w:eastAsia="en-US"/>
              </w:rPr>
              <w:t>апреля</w:t>
            </w:r>
            <w:r w:rsidR="0010655A">
              <w:rPr>
                <w:rFonts w:eastAsia="Calibri"/>
                <w:szCs w:val="26"/>
                <w:lang w:eastAsia="en-US"/>
              </w:rPr>
              <w:t xml:space="preserve"> </w:t>
            </w:r>
            <w:bookmarkStart w:id="3" w:name="_GoBack"/>
            <w:bookmarkEnd w:id="3"/>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48177739" w:rsidR="00166084" w:rsidRPr="00166084" w:rsidRDefault="00B54093" w:rsidP="00166084">
            <w:pPr>
              <w:ind w:firstLine="0"/>
              <w:rPr>
                <w:rFonts w:eastAsia="Calibri"/>
                <w:szCs w:val="26"/>
                <w:lang w:eastAsia="en-US"/>
              </w:rPr>
            </w:pPr>
            <w:r>
              <w:rPr>
                <w:rFonts w:eastAsia="Calibri"/>
                <w:szCs w:val="26"/>
                <w:lang w:eastAsia="en-US"/>
              </w:rPr>
              <w:lastRenderedPageBreak/>
              <w:t>«29</w:t>
            </w:r>
            <w:r w:rsidR="00802589" w:rsidRPr="006E7069">
              <w:rPr>
                <w:rFonts w:eastAsia="Calibri"/>
                <w:szCs w:val="26"/>
                <w:lang w:eastAsia="en-US"/>
              </w:rPr>
              <w:t xml:space="preserve">» </w:t>
            </w:r>
            <w:r w:rsidR="00B24366">
              <w:rPr>
                <w:rFonts w:eastAsia="Calibri"/>
                <w:szCs w:val="26"/>
                <w:lang w:eastAsia="en-US"/>
              </w:rPr>
              <w:t>февраля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04</w:t>
            </w:r>
            <w:r w:rsidR="003B4EF8" w:rsidRPr="006E7069">
              <w:rPr>
                <w:rFonts w:eastAsia="Calibri"/>
                <w:szCs w:val="26"/>
                <w:lang w:eastAsia="en-US"/>
              </w:rPr>
              <w:t>»</w:t>
            </w:r>
            <w:r w:rsidR="00B63888">
              <w:rPr>
                <w:rFonts w:eastAsia="Calibri"/>
                <w:szCs w:val="26"/>
                <w:lang w:eastAsia="en-US"/>
              </w:rPr>
              <w:t xml:space="preserve"> </w:t>
            </w:r>
            <w:r>
              <w:rPr>
                <w:rFonts w:eastAsia="Calibri"/>
                <w:szCs w:val="26"/>
                <w:lang w:eastAsia="en-US"/>
              </w:rPr>
              <w:t xml:space="preserve">апреля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10655A"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4"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7F128CB8"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B54093">
              <w:rPr>
                <w:b/>
              </w:rPr>
              <w:t>с 29</w:t>
            </w:r>
            <w:r w:rsidR="00B24366">
              <w:rPr>
                <w:b/>
              </w:rPr>
              <w:t>.02</w:t>
            </w:r>
            <w:r w:rsidR="006E7069" w:rsidRPr="006E7069">
              <w:rPr>
                <w:b/>
              </w:rPr>
              <w:t>.2024</w:t>
            </w:r>
            <w:r w:rsidR="006A48D7" w:rsidRPr="006E7069">
              <w:rPr>
                <w:b/>
              </w:rPr>
              <w:t xml:space="preserve"> по </w:t>
            </w:r>
            <w:r w:rsidR="00B54093">
              <w:rPr>
                <w:b/>
              </w:rPr>
              <w:t>03.04</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7097C718" w14:textId="75092411" w:rsidR="006A48D7" w:rsidRPr="00676F09"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 от </w:t>
            </w:r>
            <w:r w:rsidR="00B54093">
              <w:rPr>
                <w:rFonts w:eastAsia="Calibri"/>
                <w:szCs w:val="26"/>
                <w:lang w:eastAsia="en-US"/>
              </w:rPr>
              <w:t>26</w:t>
            </w:r>
            <w:r w:rsidR="00B24366">
              <w:rPr>
                <w:rFonts w:eastAsia="Calibri"/>
                <w:szCs w:val="26"/>
                <w:lang w:eastAsia="en-US"/>
              </w:rPr>
              <w:t>.02.2024</w:t>
            </w:r>
            <w:r w:rsidR="00B54093">
              <w:rPr>
                <w:rFonts w:eastAsia="Calibri"/>
                <w:szCs w:val="26"/>
                <w:lang w:eastAsia="en-US"/>
              </w:rPr>
              <w:t xml:space="preserve"> № 1235</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4"/>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5" w:name="_Hlk69129933"/>
    </w:p>
    <w:bookmarkEnd w:id="5"/>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6" w:name="ncontract"/>
      <w:bookmarkEnd w:id="6"/>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3029F552"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B54093">
        <w:rPr>
          <w:rFonts w:eastAsiaTheme="minorHAnsi"/>
          <w:b/>
          <w:sz w:val="28"/>
          <w:szCs w:val="28"/>
          <w:lang w:eastAsia="en-US"/>
        </w:rPr>
        <w:t>26</w:t>
      </w:r>
      <w:r w:rsidR="00B24366">
        <w:rPr>
          <w:rFonts w:eastAsiaTheme="minorHAnsi"/>
          <w:b/>
          <w:sz w:val="28"/>
          <w:szCs w:val="28"/>
          <w:lang w:eastAsia="en-US"/>
        </w:rPr>
        <w:t>.02.2024</w:t>
      </w:r>
      <w:r w:rsidR="00B54093">
        <w:rPr>
          <w:rFonts w:eastAsiaTheme="minorHAnsi"/>
          <w:b/>
          <w:sz w:val="28"/>
          <w:szCs w:val="28"/>
          <w:lang w:eastAsia="en-US"/>
        </w:rPr>
        <w:t xml:space="preserve"> № 1235</w:t>
      </w:r>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10655A">
          <w:rPr>
            <w:rFonts w:ascii="Tahoma" w:hAnsi="Tahoma" w:cs="Tahoma"/>
            <w:noProof/>
            <w:sz w:val="22"/>
            <w:szCs w:val="22"/>
          </w:rPr>
          <w:t>7</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675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1482C25B-E341-4BAB-8CA5-97A19B0C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24</Pages>
  <Words>5640</Words>
  <Characters>32151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64</cp:revision>
  <cp:lastPrinted>2023-10-05T11:40:00Z</cp:lastPrinted>
  <dcterms:created xsi:type="dcterms:W3CDTF">2023-10-09T11:04:00Z</dcterms:created>
  <dcterms:modified xsi:type="dcterms:W3CDTF">2024-02-28T07:35:00Z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