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74EED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074EED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413210">
        <w:rPr>
          <w:b/>
          <w:sz w:val="22"/>
          <w:szCs w:val="22"/>
        </w:rPr>
        <w:t>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413210">
        <w:rPr>
          <w:b/>
          <w:sz w:val="22"/>
          <w:szCs w:val="22"/>
        </w:rPr>
        <w:t xml:space="preserve"> (сокращенно </w:t>
      </w:r>
      <w:r w:rsidR="00074EED">
        <w:rPr>
          <w:b/>
          <w:sz w:val="22"/>
          <w:szCs w:val="22"/>
        </w:rPr>
        <w:t>)</w:t>
      </w:r>
      <w:proofErr w:type="gramStart"/>
      <w:r w:rsidR="00074EE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074EED">
        <w:rPr>
          <w:sz w:val="22"/>
          <w:szCs w:val="22"/>
        </w:rPr>
        <w:t xml:space="preserve">  </w:t>
      </w:r>
      <w:proofErr w:type="gramStart"/>
      <w:r w:rsidR="00074EED">
        <w:rPr>
          <w:sz w:val="22"/>
          <w:szCs w:val="22"/>
        </w:rPr>
        <w:t>от</w:t>
      </w:r>
      <w:proofErr w:type="gramEnd"/>
      <w:r w:rsidR="00074E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074EED">
        <w:rPr>
          <w:sz w:val="22"/>
          <w:szCs w:val="22"/>
        </w:rPr>
        <w:t xml:space="preserve">подвал - 44,6 </w:t>
      </w:r>
      <w:proofErr w:type="spellStart"/>
      <w:r w:rsidR="00074EED">
        <w:rPr>
          <w:sz w:val="22"/>
          <w:szCs w:val="22"/>
        </w:rPr>
        <w:t>кв.м</w:t>
      </w:r>
      <w:proofErr w:type="spellEnd"/>
      <w:r w:rsidR="00074EED">
        <w:rPr>
          <w:sz w:val="22"/>
          <w:szCs w:val="22"/>
        </w:rPr>
        <w:t xml:space="preserve">., </w:t>
      </w:r>
      <w:proofErr w:type="gramStart"/>
      <w:r w:rsidR="00074EED">
        <w:rPr>
          <w:sz w:val="22"/>
          <w:szCs w:val="22"/>
        </w:rPr>
        <w:t>расположенное</w:t>
      </w:r>
      <w:proofErr w:type="gramEnd"/>
      <w:r w:rsidR="00074EED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074EED">
        <w:rPr>
          <w:sz w:val="22"/>
          <w:szCs w:val="22"/>
        </w:rPr>
        <w:t xml:space="preserve"> по адресу: УЛ. ИМ. ПОЛОНЕНКО,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413210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413210">
        <w:rPr>
          <w:sz w:val="22"/>
          <w:szCs w:val="22"/>
        </w:rPr>
        <w:t xml:space="preserve"> </w:t>
      </w:r>
      <w:bookmarkStart w:id="12" w:name="nomsv"/>
      <w:bookmarkEnd w:id="12"/>
      <w:r w:rsidR="00074EED" w:rsidRPr="00413210">
        <w:rPr>
          <w:sz w:val="22"/>
          <w:szCs w:val="22"/>
        </w:rPr>
        <w:t>34-АА№792750</w:t>
      </w:r>
      <w:r w:rsidR="00530BA7" w:rsidRPr="00413210">
        <w:rPr>
          <w:sz w:val="22"/>
          <w:szCs w:val="22"/>
        </w:rPr>
        <w:t xml:space="preserve"> </w:t>
      </w:r>
      <w:r w:rsidR="004673A3" w:rsidRPr="00413210">
        <w:rPr>
          <w:sz w:val="22"/>
          <w:szCs w:val="22"/>
        </w:rPr>
        <w:t xml:space="preserve">от  </w:t>
      </w:r>
      <w:bookmarkStart w:id="13" w:name="datsv"/>
      <w:bookmarkEnd w:id="13"/>
      <w:r w:rsidR="00074EED" w:rsidRPr="00413210">
        <w:rPr>
          <w:sz w:val="22"/>
          <w:szCs w:val="22"/>
        </w:rPr>
        <w:t>12.07.2012</w:t>
      </w:r>
      <w:bookmarkStart w:id="14" w:name="nreg"/>
      <w:bookmarkEnd w:id="14"/>
      <w:r w:rsidR="004673A3" w:rsidRPr="00413210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413210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413210">
        <w:rPr>
          <w:sz w:val="22"/>
          <w:szCs w:val="22"/>
        </w:rPr>
        <w:t>деятельность</w:t>
      </w:r>
      <w:proofErr w:type="gramEnd"/>
      <w:r w:rsidR="00413210">
        <w:rPr>
          <w:sz w:val="22"/>
          <w:szCs w:val="22"/>
        </w:rPr>
        <w:t>, не запрещенная действующим законодательством РФ</w:t>
      </w:r>
      <w:bookmarkStart w:id="15" w:name="haract"/>
      <w:bookmarkEnd w:id="15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413210" w:rsidRPr="00413210" w:rsidRDefault="00413210" w:rsidP="00413210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13210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074EED">
        <w:rPr>
          <w:sz w:val="22"/>
          <w:szCs w:val="22"/>
        </w:rPr>
        <w:t xml:space="preserve">  </w:t>
      </w:r>
      <w:proofErr w:type="gramStart"/>
      <w:r w:rsidR="00074EED">
        <w:rPr>
          <w:sz w:val="22"/>
          <w:szCs w:val="22"/>
        </w:rPr>
        <w:t>от</w:t>
      </w:r>
      <w:proofErr w:type="gramEnd"/>
      <w:r w:rsidR="00074EE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9" w:name="p42"/>
      <w:bookmarkEnd w:id="19"/>
      <w:r w:rsidR="00074EED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074EE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074EE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1321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074EE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413210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074EED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074EE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jc w:val="both"/>
            </w:pPr>
          </w:p>
          <w:p w:rsidR="00413210" w:rsidRPr="00672F0C" w:rsidRDefault="0041321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ED" w:rsidRDefault="00074EED">
      <w:r>
        <w:separator/>
      </w:r>
    </w:p>
    <w:p w:rsidR="00074EED" w:rsidRDefault="00074EED"/>
  </w:endnote>
  <w:endnote w:type="continuationSeparator" w:id="0">
    <w:p w:rsidR="00074EED" w:rsidRDefault="00074EED">
      <w:r>
        <w:continuationSeparator/>
      </w:r>
    </w:p>
    <w:p w:rsidR="00074EED" w:rsidRDefault="00074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21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ED" w:rsidRDefault="00074EED">
      <w:r>
        <w:separator/>
      </w:r>
    </w:p>
    <w:p w:rsidR="00074EED" w:rsidRDefault="00074EED"/>
  </w:footnote>
  <w:footnote w:type="continuationSeparator" w:id="0">
    <w:p w:rsidR="00074EED" w:rsidRDefault="00074EED">
      <w:r>
        <w:continuationSeparator/>
      </w:r>
    </w:p>
    <w:p w:rsidR="00074EED" w:rsidRDefault="00074E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E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4EED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3210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13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1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A15F5-2840-4FB9-8226-137E2DD67EE2}"/>
</file>

<file path=customXml/itemProps2.xml><?xml version="1.0" encoding="utf-8"?>
<ds:datastoreItem xmlns:ds="http://schemas.openxmlformats.org/officeDocument/2006/customXml" ds:itemID="{8EE560D6-D08B-4871-928A-F8203625F481}"/>
</file>

<file path=customXml/itemProps3.xml><?xml version="1.0" encoding="utf-8"?>
<ds:datastoreItem xmlns:ds="http://schemas.openxmlformats.org/officeDocument/2006/customXml" ds:itemID="{044D6AC3-B2D7-4921-959B-D57F3BE8FBD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2392</Words>
  <Characters>17583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2019-06-25T11:13:00Z</dcterms:created>
  <dcterms:modified xsi:type="dcterms:W3CDTF">2019-06-25T11:23:00Z</dcterms:modified>
</cp:coreProperties>
</file>