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DE65D2" w:rsidTr="001A2905">
        <w:trPr>
          <w:trHeight w:val="1396"/>
        </w:trPr>
        <w:tc>
          <w:tcPr>
            <w:tcW w:w="2410" w:type="dxa"/>
          </w:tcPr>
          <w:p w:rsidR="008D4880" w:rsidRPr="00DE65D2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DE65D2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C8BCA2D" wp14:editId="09D7F37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DE65D2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DE65D2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DE65D2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DE65D2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DE65D2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DE65D2">
              <w:rPr>
                <w:color w:val="000000" w:themeColor="text1"/>
                <w:sz w:val="26"/>
                <w:szCs w:val="26"/>
              </w:rPr>
              <w:t>ы</w:t>
            </w:r>
            <w:r w:rsidR="00F53AE6" w:rsidRPr="00DE65D2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DE65D2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DE65D2">
              <w:rPr>
                <w:color w:val="000000" w:themeColor="text1"/>
                <w:sz w:val="26"/>
                <w:szCs w:val="26"/>
              </w:rPr>
              <w:t>й</w:t>
            </w:r>
            <w:r w:rsidRPr="00DE65D2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DE65D2" w:rsidRDefault="001A2905" w:rsidP="001A2905">
      <w:pPr>
        <w:jc w:val="both"/>
        <w:rPr>
          <w:color w:val="000000" w:themeColor="text1"/>
          <w:sz w:val="16"/>
          <w:szCs w:val="16"/>
        </w:rPr>
      </w:pPr>
    </w:p>
    <w:p w:rsidR="008E257F" w:rsidRPr="00DE65D2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>С наступлением периода пожароопасного сезона, повышением температуры окружающей среды,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С повышением температуры и устоявшейся солнечной погоды горожане поспешили на свои приусадебные участки (дачи) для наведения чистоты и порядка от накопившегося различного мусора и сухой растительности. При этом</w:t>
      </w:r>
      <w:proofErr w:type="gramStart"/>
      <w:r w:rsidRPr="00DE65D2">
        <w:rPr>
          <w:color w:val="000000" w:themeColor="text1"/>
          <w:sz w:val="27"/>
          <w:szCs w:val="27"/>
        </w:rPr>
        <w:t>,</w:t>
      </w:r>
      <w:proofErr w:type="gramEnd"/>
      <w:r w:rsidRPr="00DE65D2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DE65D2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DE65D2">
        <w:rPr>
          <w:color w:val="000000" w:themeColor="text1"/>
          <w:sz w:val="27"/>
          <w:szCs w:val="27"/>
        </w:rPr>
        <w:t xml:space="preserve">очень </w:t>
      </w:r>
      <w:r w:rsidRPr="00DE65D2">
        <w:rPr>
          <w:color w:val="000000" w:themeColor="text1"/>
          <w:sz w:val="27"/>
          <w:szCs w:val="27"/>
        </w:rPr>
        <w:t xml:space="preserve">опасное. </w:t>
      </w:r>
      <w:proofErr w:type="gramStart"/>
      <w:r w:rsidRPr="00DE65D2">
        <w:rPr>
          <w:color w:val="000000" w:themeColor="text1"/>
          <w:sz w:val="27"/>
          <w:szCs w:val="27"/>
        </w:rPr>
        <w:t>Огонь, оставленный без присмотра</w:t>
      </w:r>
      <w:r w:rsidR="00F53AE6" w:rsidRPr="00DE65D2">
        <w:rPr>
          <w:color w:val="000000" w:themeColor="text1"/>
          <w:sz w:val="27"/>
          <w:szCs w:val="27"/>
        </w:rPr>
        <w:t>,</w:t>
      </w:r>
      <w:r w:rsidRPr="00DE65D2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DE65D2">
        <w:rPr>
          <w:color w:val="000000" w:themeColor="text1"/>
          <w:sz w:val="27"/>
          <w:szCs w:val="27"/>
        </w:rPr>
        <w:t>или</w:t>
      </w:r>
      <w:r w:rsidRPr="00DE65D2">
        <w:rPr>
          <w:color w:val="000000" w:themeColor="text1"/>
          <w:sz w:val="27"/>
          <w:szCs w:val="27"/>
        </w:rPr>
        <w:t xml:space="preserve"> полностью</w:t>
      </w:r>
      <w:r w:rsidR="004B6973" w:rsidRPr="00DE65D2">
        <w:rPr>
          <w:color w:val="000000" w:themeColor="text1"/>
          <w:sz w:val="27"/>
          <w:szCs w:val="27"/>
        </w:rPr>
        <w:t>,</w:t>
      </w:r>
      <w:r w:rsidRPr="00DE65D2">
        <w:rPr>
          <w:color w:val="000000" w:themeColor="text1"/>
          <w:sz w:val="27"/>
          <w:szCs w:val="27"/>
        </w:rPr>
        <w:t xml:space="preserve"> </w:t>
      </w:r>
      <w:r w:rsidR="00F53AE6" w:rsidRPr="00DE65D2">
        <w:rPr>
          <w:color w:val="000000" w:themeColor="text1"/>
          <w:sz w:val="27"/>
          <w:szCs w:val="27"/>
        </w:rPr>
        <w:t>или</w:t>
      </w:r>
      <w:r w:rsidRPr="00DE65D2">
        <w:rPr>
          <w:color w:val="000000" w:themeColor="text1"/>
          <w:sz w:val="27"/>
          <w:szCs w:val="27"/>
        </w:rPr>
        <w:t xml:space="preserve"> частично.</w:t>
      </w:r>
      <w:proofErr w:type="gramEnd"/>
      <w:r w:rsidRPr="00DE65D2">
        <w:rPr>
          <w:color w:val="000000" w:themeColor="text1"/>
          <w:sz w:val="27"/>
          <w:szCs w:val="27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DE65D2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DE65D2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DE65D2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DE65D2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DE65D2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DE65D2">
        <w:rPr>
          <w:color w:val="000000" w:themeColor="text1"/>
          <w:sz w:val="27"/>
          <w:szCs w:val="27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DE65D2">
        <w:rPr>
          <w:color w:val="000000" w:themeColor="text1"/>
          <w:sz w:val="27"/>
          <w:szCs w:val="27"/>
        </w:rPr>
        <w:t>вне</w:t>
      </w:r>
      <w:proofErr w:type="gramEnd"/>
      <w:r w:rsidR="008E257F" w:rsidRPr="00DE65D2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DE65D2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 xml:space="preserve"> на территории многоквартирных жилы</w:t>
      </w:r>
      <w:bookmarkStart w:id="0" w:name="_GoBack"/>
      <w:bookmarkEnd w:id="0"/>
      <w:r w:rsidRPr="00DE65D2">
        <w:rPr>
          <w:color w:val="000000" w:themeColor="text1"/>
          <w:sz w:val="27"/>
          <w:szCs w:val="27"/>
        </w:rPr>
        <w:t>х домов запрещается проводить мойку (в не</w:t>
      </w:r>
      <w:r w:rsidR="004B6973" w:rsidRPr="00DE65D2">
        <w:rPr>
          <w:color w:val="000000" w:themeColor="text1"/>
          <w:sz w:val="27"/>
          <w:szCs w:val="27"/>
        </w:rPr>
        <w:t xml:space="preserve"> </w:t>
      </w:r>
      <w:r w:rsidRPr="00DE65D2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DE65D2">
        <w:rPr>
          <w:color w:val="000000" w:themeColor="text1"/>
          <w:sz w:val="27"/>
          <w:szCs w:val="27"/>
        </w:rPr>
        <w:t>х средств, слив бензина и масел,</w:t>
      </w:r>
      <w:r w:rsidRPr="00DE65D2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DE65D2">
        <w:rPr>
          <w:color w:val="000000" w:themeColor="text1"/>
          <w:sz w:val="27"/>
          <w:szCs w:val="27"/>
        </w:rPr>
        <w:t>;</w:t>
      </w:r>
    </w:p>
    <w:p w:rsidR="008E257F" w:rsidRPr="00DE65D2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DE65D2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DE65D2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DE65D2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DE65D2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DE65D2">
        <w:rPr>
          <w:b/>
          <w:color w:val="000000" w:themeColor="text1"/>
          <w:sz w:val="27"/>
          <w:szCs w:val="27"/>
        </w:rPr>
        <w:t>Е</w:t>
      </w:r>
      <w:r w:rsidR="008E257F" w:rsidRPr="00DE65D2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DE65D2">
        <w:rPr>
          <w:b/>
          <w:color w:val="000000" w:themeColor="text1"/>
          <w:sz w:val="27"/>
          <w:szCs w:val="27"/>
        </w:rPr>
        <w:t>произошел,</w:t>
      </w:r>
      <w:r w:rsidR="008E257F" w:rsidRPr="00DE65D2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DE65D2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DE65D2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DE65D2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DE65D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DE65D2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DE65D2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DE65D2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DE65D2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141EBF"/>
    <w:rsid w:val="001A2905"/>
    <w:rsid w:val="001F1921"/>
    <w:rsid w:val="00313BD9"/>
    <w:rsid w:val="00412291"/>
    <w:rsid w:val="004B6973"/>
    <w:rsid w:val="00652738"/>
    <w:rsid w:val="00806267"/>
    <w:rsid w:val="008D4880"/>
    <w:rsid w:val="008E257F"/>
    <w:rsid w:val="00C07EF0"/>
    <w:rsid w:val="00D31CAB"/>
    <w:rsid w:val="00DE65D2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65DE1-6A78-49B6-9984-A174C84BAC6C}"/>
</file>

<file path=customXml/itemProps2.xml><?xml version="1.0" encoding="utf-8"?>
<ds:datastoreItem xmlns:ds="http://schemas.openxmlformats.org/officeDocument/2006/customXml" ds:itemID="{64A698C3-9C84-465F-A714-253CEB18B6AE}"/>
</file>

<file path=customXml/itemProps3.xml><?xml version="1.0" encoding="utf-8"?>
<ds:datastoreItem xmlns:ds="http://schemas.openxmlformats.org/officeDocument/2006/customXml" ds:itemID="{B216D74F-2D35-41AA-9513-9BF792A20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2017-04-20T06:28:00Z</dcterms:created>
  <dcterms:modified xsi:type="dcterms:W3CDTF">2018-06-06T12:02:00Z</dcterms:modified>
</cp:coreProperties>
</file>