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ежегодном городском конкурсе «Лучшее новогоднее оформление объектов 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торговли, общественного питания и сферы услуг»  </w:t>
      </w:r>
    </w:p>
    <w:p w:rsidR="00F07963" w:rsidRPr="00F07963" w:rsidRDefault="00F07963" w:rsidP="00F0796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1. Настоящее Положение определяет цели, условия проведения и порядок определения победителей ежегодного городского конкурса «Лучшее новогоднее оформление объектов торговли, общественного питания и сферы услуг» (далее - конкурс).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2. Цели конкурса - создание праздничного облика Волгограда в период проведения новогодних праздников, повышение эстетичной выразительности фасадов, входных зон, интерьеров объектов торговли, общественного питания и сферы услуг.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 xml:space="preserve">3. Организатором конкурса является </w:t>
      </w:r>
      <w:r w:rsidR="001C712A">
        <w:rPr>
          <w:rFonts w:ascii="Times New Roman" w:eastAsia="Calibri" w:hAnsi="Times New Roman" w:cs="Times New Roman"/>
          <w:sz w:val="28"/>
          <w:szCs w:val="28"/>
        </w:rPr>
        <w:t xml:space="preserve">департамент </w:t>
      </w:r>
      <w:r w:rsidRPr="00F07963">
        <w:rPr>
          <w:rFonts w:ascii="Times New Roman" w:eastAsia="Calibri" w:hAnsi="Times New Roman" w:cs="Times New Roman"/>
          <w:sz w:val="28"/>
          <w:szCs w:val="28"/>
        </w:rPr>
        <w:t xml:space="preserve">экономического развития и инвестиций </w:t>
      </w:r>
      <w:r w:rsidR="001C712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bookmarkStart w:id="0" w:name="_GoBack"/>
      <w:bookmarkEnd w:id="0"/>
      <w:r w:rsidRPr="00F07963">
        <w:rPr>
          <w:rFonts w:ascii="Times New Roman" w:eastAsia="Calibri" w:hAnsi="Times New Roman" w:cs="Times New Roman"/>
          <w:sz w:val="28"/>
          <w:szCs w:val="28"/>
        </w:rPr>
        <w:t xml:space="preserve"> Волгограда (далее - организатор конкурса).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4. Конкурс проводится по следующим номинациям: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1) «Витрин чудесное мерцание» на лучшее новогоднее оформление окон, витрин, витражей среди следующих объектов торговли, общественного питания и сферы услуг: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- стационарный торговый объект;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- нестационарный торговый объект;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- объект общественного питания (ресторан, кафе, бар, столовая);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- объект сферы услуг;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- ярмарка, рынок.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 xml:space="preserve">2) «В преддверии чудес» на лучшее новогоднее оформление входной группы, прилегающей территории, парковки  к объектам среди следующих объектов торговли, общественного питания и сферы услуг: 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- стационарный торговый объект;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- нестационарный торговый объект;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- объект общественного питания (ресторан, кафе, бар, столовая);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- объект сферы услуг;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- ярмарка, рынок.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3) «Зимняя феерия» на лучшее комплексное новогоднее оформление объекта торговли, общественного питания и сферы услуг среди следующих объектов торговли, общественного питания и сферы услуг: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- стационарный торговый объект;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- нестационарный торговый объект;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- объект общественного питания (ресторан, кафе, бар, столовая);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- объект сферы услуг;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- ярмарка, рынок.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5. Рекомендации по оформлению объектов и территорий.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 xml:space="preserve">Оформление фасадов, входных групп, витражей и окон объектов рекомендовано выполнять с подсветкой с ненаправленным рассеянным источником освещения, а также в виде </w:t>
      </w:r>
      <w:proofErr w:type="spellStart"/>
      <w:r w:rsidRPr="00F07963">
        <w:rPr>
          <w:rFonts w:ascii="Times New Roman" w:eastAsia="Calibri" w:hAnsi="Times New Roman" w:cs="Times New Roman"/>
          <w:sz w:val="28"/>
          <w:szCs w:val="28"/>
        </w:rPr>
        <w:t>светодинамического</w:t>
      </w:r>
      <w:proofErr w:type="spellEnd"/>
      <w:r w:rsidRPr="00F07963">
        <w:rPr>
          <w:rFonts w:ascii="Times New Roman" w:eastAsia="Calibri" w:hAnsi="Times New Roman" w:cs="Times New Roman"/>
          <w:sz w:val="28"/>
          <w:szCs w:val="28"/>
        </w:rPr>
        <w:t xml:space="preserve"> художественного </w:t>
      </w:r>
      <w:r w:rsidRPr="00F0796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оформления (проекторы, лазеры, направленные на землю), световых инсталляций,              </w:t>
      </w:r>
      <w:proofErr w:type="spellStart"/>
      <w:r w:rsidRPr="00F07963">
        <w:rPr>
          <w:rFonts w:ascii="Times New Roman" w:eastAsia="Calibri" w:hAnsi="Times New Roman" w:cs="Times New Roman"/>
          <w:sz w:val="28"/>
          <w:szCs w:val="28"/>
        </w:rPr>
        <w:t>видеомэппинга</w:t>
      </w:r>
      <w:proofErr w:type="spellEnd"/>
      <w:r w:rsidRPr="00F07963">
        <w:rPr>
          <w:rFonts w:ascii="Times New Roman" w:eastAsia="Calibri" w:hAnsi="Times New Roman" w:cs="Times New Roman"/>
          <w:sz w:val="28"/>
          <w:szCs w:val="28"/>
        </w:rPr>
        <w:t xml:space="preserve"> или других источников света, создающих достаточный уровень освещенности, необходимый для восприятия в вечернее и ночное время.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Возможно использование односторонних растяжек, выполненных путем печати на баннерной ткани или сетке (с размещением новогодних поздравлений), не закрывающих оконные проемы и не нарушающих восприятие средств уличных коммуникаций, а также витринное оформление с использованием световых гирлянд, световых шнуров (</w:t>
      </w:r>
      <w:proofErr w:type="spellStart"/>
      <w:r w:rsidRPr="00F07963">
        <w:rPr>
          <w:rFonts w:ascii="Times New Roman" w:eastAsia="Calibri" w:hAnsi="Times New Roman" w:cs="Times New Roman"/>
          <w:sz w:val="28"/>
          <w:szCs w:val="28"/>
        </w:rPr>
        <w:t>дюралайт</w:t>
      </w:r>
      <w:proofErr w:type="spellEnd"/>
      <w:r w:rsidRPr="00F07963">
        <w:rPr>
          <w:rFonts w:ascii="Times New Roman" w:eastAsia="Calibri" w:hAnsi="Times New Roman" w:cs="Times New Roman"/>
          <w:sz w:val="28"/>
          <w:szCs w:val="28"/>
        </w:rPr>
        <w:t>), декоративных шаров, фигур с символикой Нового года.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Оформление прилегающей территории может включать оформление деревьев световой сеткой или специальным световым дождем, различными светящимися украшениями, установку тематических малых архитектурных форм и элементов, изготовление снежных или ледяных объемных фигур, установку искусственных или натуральных елей.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В случае отсутствия деревьев на прилегающей территории желательно обеспечить праздничную подсветку входной группы и площадки.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6. В конкурсе могут принять участие организации независимо от организационно-правовых форм и форм собственности, индивидуальные предприниматели, включенные в реестр субъектов малого и среднего предпринимательства (далее - участники конкурса).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Участник конкурса может быть признан победителем в рамках конкурса не более одного раза только в одной номинации.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7. Заявка на участие в конкурсе (далее - заявка) оформляется по форме согласно приложению и направляется в администрацию района Волгограда в соответствии с местом нахождения объекта торговли, общественного питания и сферы услуг.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К заявке участник конкурса прилагает художественно оформленный альбом с фотографиями или цифровые фотографии в виде электронных файлов, С</w:t>
      </w:r>
      <w:proofErr w:type="gramStart"/>
      <w:r w:rsidRPr="00F07963">
        <w:rPr>
          <w:rFonts w:ascii="Times New Roman" w:eastAsia="Calibri" w:hAnsi="Times New Roman" w:cs="Times New Roman"/>
          <w:sz w:val="28"/>
          <w:szCs w:val="28"/>
        </w:rPr>
        <w:t>D</w:t>
      </w:r>
      <w:proofErr w:type="gramEnd"/>
      <w:r w:rsidRPr="00F07963">
        <w:rPr>
          <w:rFonts w:ascii="Times New Roman" w:eastAsia="Calibri" w:hAnsi="Times New Roman" w:cs="Times New Roman"/>
          <w:sz w:val="28"/>
          <w:szCs w:val="28"/>
        </w:rPr>
        <w:t>-диски (фотоматериалы новогоднего оформления зданий, входных групп, витражей; вид с расстояния 30 - 60 метров с прилегающей территорией; крупный план светового оформления; крупные элементы оформления). По желанию участник конкурса может приобщить к заявке дополнительные материалы (проведение культурных программ, в том числе с участием посетителей, благотворительных акций и мероприятий).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8. Конкурс проводится в период с 16 по 28 декабря в два этапа.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8.1. I этап конкурса проходит в районах Волгограда с 16 до 24 декабря.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Администрации районов Волгограда: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создают конкурсные комиссии по проведению I этапа конкурса;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 xml:space="preserve">проводят отбор двух участников конкурса, набравших наибольшее количество баллов в соответствии с критериями, изложенными в </w:t>
      </w:r>
      <w:hyperlink w:anchor="P65" w:history="1">
        <w:r w:rsidRPr="00F07963">
          <w:rPr>
            <w:rFonts w:ascii="Times New Roman" w:eastAsia="Calibri" w:hAnsi="Times New Roman" w:cs="Times New Roman"/>
            <w:color w:val="0000FF"/>
            <w:sz w:val="28"/>
            <w:szCs w:val="28"/>
          </w:rPr>
          <w:t>пункте 9</w:t>
        </w:r>
      </w:hyperlink>
      <w:r w:rsidRPr="00F07963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по каждой номинации каждого вида объекта из общего числа участников конкурса;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до 22 декабря представляют организатору конкурса пакет документов, включающий: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протокол заседания конкурсной комиссии по проведению I этапа конкурса по каждой номинации с указанием двух лучших участников конкурса по итогам I этапа,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информационные материалы по каждому участнику, прошедшему отбор в I этапе конкурса: художественно оформленный альбом с фотографиями или цифровые фотографии в виде электронных файлов, С</w:t>
      </w:r>
      <w:proofErr w:type="gramStart"/>
      <w:r w:rsidRPr="00F07963">
        <w:rPr>
          <w:rFonts w:ascii="Times New Roman" w:eastAsia="Calibri" w:hAnsi="Times New Roman" w:cs="Times New Roman"/>
          <w:sz w:val="28"/>
          <w:szCs w:val="28"/>
        </w:rPr>
        <w:t>D</w:t>
      </w:r>
      <w:proofErr w:type="gramEnd"/>
      <w:r w:rsidRPr="00F07963">
        <w:rPr>
          <w:rFonts w:ascii="Times New Roman" w:eastAsia="Calibri" w:hAnsi="Times New Roman" w:cs="Times New Roman"/>
          <w:sz w:val="28"/>
          <w:szCs w:val="28"/>
        </w:rPr>
        <w:t>-диски (фотоматериалы новогоднего оформления зданий, входных групп, витражей; вид с расстояния 30 - 60 метров с прилегающей территорией; крупный план светового оформления; крупные элементы оформления), дополнительные материалы (проведение культурных программ, в том числе с участием посетителей, благотворительных акций и мероприятий).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8.2. II этап конкурса проводится среди участников, прошедших I этап конкурса,  с 25 по 28 декабря.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 xml:space="preserve">Конкурсная комиссия по проведению конкурса (далее - конкурсная комиссия) на основании представленных администрациями районов Волгограда документов и информационных материалов определяет победителей конкурса в соответствии с критериями, изложенными в </w:t>
      </w:r>
      <w:hyperlink w:anchor="P65" w:history="1">
        <w:r w:rsidRPr="00F07963">
          <w:rPr>
            <w:rFonts w:ascii="Times New Roman" w:eastAsia="Calibri" w:hAnsi="Times New Roman" w:cs="Times New Roman"/>
            <w:color w:val="0000FF"/>
            <w:sz w:val="28"/>
            <w:szCs w:val="28"/>
          </w:rPr>
          <w:t>пункте 9</w:t>
        </w:r>
      </w:hyperlink>
      <w:r w:rsidRPr="00F07963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в каждой номинации из числа участников конкурса, представленных администрациями районов Волгограда.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65"/>
      <w:bookmarkEnd w:id="1"/>
      <w:r w:rsidRPr="00F07963">
        <w:rPr>
          <w:rFonts w:ascii="Times New Roman" w:eastAsia="Calibri" w:hAnsi="Times New Roman" w:cs="Times New Roman"/>
          <w:sz w:val="28"/>
          <w:szCs w:val="28"/>
        </w:rPr>
        <w:t>9. Критерии оценки участников конкурса: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7259"/>
        <w:gridCol w:w="1842"/>
      </w:tblGrid>
      <w:tr w:rsidR="00F07963" w:rsidRPr="00F07963" w:rsidTr="006B31D4">
        <w:tc>
          <w:tcPr>
            <w:tcW w:w="600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59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Критерии оценки участников конкурса</w:t>
            </w:r>
          </w:p>
        </w:tc>
        <w:tc>
          <w:tcPr>
            <w:tcW w:w="1842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Максимальное значение баллов</w:t>
            </w:r>
          </w:p>
        </w:tc>
      </w:tr>
      <w:tr w:rsidR="00F07963" w:rsidRPr="00F07963" w:rsidTr="006B31D4">
        <w:tc>
          <w:tcPr>
            <w:tcW w:w="600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59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Номинация «Витрин чудесное мерцание»</w:t>
            </w:r>
          </w:p>
        </w:tc>
        <w:tc>
          <w:tcPr>
            <w:tcW w:w="1842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7963" w:rsidRPr="00F07963" w:rsidTr="006B31D4">
        <w:tc>
          <w:tcPr>
            <w:tcW w:w="600" w:type="dxa"/>
            <w:vMerge w:val="restart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59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Световое оформление витрин, окон, витражей</w:t>
            </w:r>
          </w:p>
        </w:tc>
        <w:tc>
          <w:tcPr>
            <w:tcW w:w="1842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F07963" w:rsidRPr="00F07963" w:rsidTr="006B31D4">
        <w:tc>
          <w:tcPr>
            <w:tcW w:w="600" w:type="dxa"/>
            <w:vMerge/>
          </w:tcPr>
          <w:p w:rsidR="00F07963" w:rsidRPr="00F07963" w:rsidRDefault="00F07963" w:rsidP="00F0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9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Наличие световых фигур, новогодних композиций  в оформлении витрин, окон, витражей</w:t>
            </w:r>
          </w:p>
        </w:tc>
        <w:tc>
          <w:tcPr>
            <w:tcW w:w="1842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F07963" w:rsidRPr="00F07963" w:rsidTr="006B31D4">
        <w:tc>
          <w:tcPr>
            <w:tcW w:w="600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59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Номинация «В преддверии чудес»</w:t>
            </w:r>
          </w:p>
        </w:tc>
        <w:tc>
          <w:tcPr>
            <w:tcW w:w="1842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7963" w:rsidRPr="00F07963" w:rsidTr="006B31D4">
        <w:tc>
          <w:tcPr>
            <w:tcW w:w="600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59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Оформление, в том числе световое, прилегающей территории (наличие новогодней атрибутики: новогодних елок, фигур сказочных и новогодних персонажей, детских новогодних городков)</w:t>
            </w:r>
          </w:p>
        </w:tc>
        <w:tc>
          <w:tcPr>
            <w:tcW w:w="1842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F07963" w:rsidRPr="00F07963" w:rsidTr="006B31D4">
        <w:tc>
          <w:tcPr>
            <w:tcW w:w="600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59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светодиодной сеткой, дождем крон деревьев</w:t>
            </w:r>
          </w:p>
        </w:tc>
        <w:tc>
          <w:tcPr>
            <w:tcW w:w="1842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F07963" w:rsidRPr="00F07963" w:rsidTr="006B31D4">
        <w:tc>
          <w:tcPr>
            <w:tcW w:w="600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59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тематических</w:t>
            </w:r>
            <w:proofErr w:type="gramEnd"/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фотозон</w:t>
            </w:r>
          </w:p>
        </w:tc>
        <w:tc>
          <w:tcPr>
            <w:tcW w:w="1842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F07963" w:rsidRPr="00F07963" w:rsidTr="006B31D4">
        <w:tc>
          <w:tcPr>
            <w:tcW w:w="600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59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Номинация «Зимняя феерия»</w:t>
            </w:r>
          </w:p>
        </w:tc>
        <w:tc>
          <w:tcPr>
            <w:tcW w:w="1842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7963" w:rsidRPr="00F07963" w:rsidTr="006B31D4">
        <w:tc>
          <w:tcPr>
            <w:tcW w:w="600" w:type="dxa"/>
            <w:vMerge w:val="restart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59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Световое оформление витрин, окон, витражей</w:t>
            </w:r>
          </w:p>
        </w:tc>
        <w:tc>
          <w:tcPr>
            <w:tcW w:w="1842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F07963" w:rsidRPr="00F07963" w:rsidTr="006B31D4">
        <w:tc>
          <w:tcPr>
            <w:tcW w:w="600" w:type="dxa"/>
            <w:vMerge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59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Оформление, в том числе световое, прилегающей территории (наличие новогодней атрибутики: новогодних елок, фигур сказочных и новогодних персонажей, детских новогодних городков)</w:t>
            </w:r>
          </w:p>
        </w:tc>
        <w:tc>
          <w:tcPr>
            <w:tcW w:w="1842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F07963" w:rsidRPr="00F07963" w:rsidTr="006B31D4">
        <w:tc>
          <w:tcPr>
            <w:tcW w:w="600" w:type="dxa"/>
            <w:vMerge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59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Декоративно-художественное и световое оформление интерьеров помещений в новогодней тематике</w:t>
            </w:r>
          </w:p>
        </w:tc>
        <w:tc>
          <w:tcPr>
            <w:tcW w:w="1842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F07963" w:rsidRPr="00F07963" w:rsidTr="006B31D4">
        <w:tc>
          <w:tcPr>
            <w:tcW w:w="600" w:type="dxa"/>
            <w:vMerge/>
          </w:tcPr>
          <w:p w:rsidR="00F07963" w:rsidRPr="00F07963" w:rsidRDefault="00F07963" w:rsidP="00F0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9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тематических</w:t>
            </w:r>
            <w:proofErr w:type="gramEnd"/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фотозон</w:t>
            </w:r>
          </w:p>
        </w:tc>
        <w:tc>
          <w:tcPr>
            <w:tcW w:w="1842" w:type="dxa"/>
          </w:tcPr>
          <w:p w:rsidR="00F07963" w:rsidRPr="00F07963" w:rsidRDefault="00F07963" w:rsidP="00F0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96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</w:tbl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10. Подведение итогов конкурса и определение победителей по каждой номинации осуществляется конкурсной комиссией путем присвоения баллов в соответствии с критериями оценки участников конкурса, установленными пунктом 9 настоящего Положения. Заседание конкурсной комиссии правомочно, если на нем присутствуют не менее 2/3 ее членов.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11. Победителями признаются участники конкурса, набравшие наибольшее количество баллов.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12. По итогам конкурса в каждой номинации по каждому виду объекта конкурсной комиссией определяются участники конкурса, занявшие 1, 2, 3 места.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13. Решение конкурсной комиссии оформляется протоколом заседания конкурсной комиссии, который подписывается председателем конкурсной комиссии.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14. Не позднее 31 декабря информация о победителях конкурса размещается на официальном сайте администрации Волгограда в информационно-телекоммуникационной сети Интернет и освещается в муниципальных средствах массовой информации Волгограда.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963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Победители конкурса, занявшие 1, 2, 3 места, награждаются дипломами администрации Волгограда, сертификатами на размещение информации о деятельности победителей конкурса в муниципальных средствах массовой информации.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963">
        <w:rPr>
          <w:rFonts w:ascii="Times New Roman" w:eastAsia="Times New Roman" w:hAnsi="Times New Roman" w:cs="Times New Roman"/>
          <w:sz w:val="28"/>
          <w:szCs w:val="28"/>
          <w:lang w:eastAsia="ru-RU"/>
        </w:rPr>
        <w:t>16. Награждение победителей проводится в торжественной обстановке.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07963">
        <w:rPr>
          <w:rFonts w:ascii="Times New Roman" w:eastAsia="Times New Roman" w:hAnsi="Times New Roman" w:cs="Times New Roman"/>
          <w:sz w:val="28"/>
          <w:szCs w:val="28"/>
          <w:lang w:eastAsia="ru-RU"/>
        </w:rPr>
        <w:t>17. Организатор конкурса уведомляет победителей конкурса о проведении церемонии награждения не менее чем за два рабочих дня до дня проведения церемонии награждения.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 xml:space="preserve">18. Финансирование конкурса осуществляется администрацией  </w:t>
      </w:r>
      <w:proofErr w:type="gramStart"/>
      <w:r w:rsidRPr="00F07963">
        <w:rPr>
          <w:rFonts w:ascii="Times New Roman" w:eastAsia="Calibri" w:hAnsi="Times New Roman" w:cs="Times New Roman"/>
          <w:sz w:val="28"/>
          <w:szCs w:val="28"/>
        </w:rPr>
        <w:t>Волго-града</w:t>
      </w:r>
      <w:proofErr w:type="gramEnd"/>
      <w:r w:rsidRPr="00F07963">
        <w:rPr>
          <w:rFonts w:ascii="Times New Roman" w:eastAsia="Calibri" w:hAnsi="Times New Roman" w:cs="Times New Roman"/>
          <w:sz w:val="28"/>
          <w:szCs w:val="28"/>
        </w:rPr>
        <w:t xml:space="preserve"> за счет средств, предусмотренных в бюджете Волгограда на соответствующий год на реализацию мероприятий муниципальной программы «Развитие инвестиционной и предпринимательской деятельности в Волгограде», утвержденной постановлением администрации Волгограда от 29.12.2018 № 1893 «Об утверждении муниципальной программы «Развитие инвестиционной и предпринимательской деятельности в Волгограде». 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 </w:t>
      </w:r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 xml:space="preserve">Управление </w:t>
      </w:r>
      <w:proofErr w:type="gramStart"/>
      <w:r w:rsidRPr="00F07963">
        <w:rPr>
          <w:rFonts w:ascii="Times New Roman" w:eastAsia="Calibri" w:hAnsi="Times New Roman" w:cs="Times New Roman"/>
          <w:sz w:val="28"/>
          <w:szCs w:val="28"/>
        </w:rPr>
        <w:t>экономического</w:t>
      </w:r>
      <w:proofErr w:type="gramEnd"/>
    </w:p>
    <w:p w:rsidR="00F07963" w:rsidRPr="00F07963" w:rsidRDefault="00F07963" w:rsidP="00F07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7963">
        <w:rPr>
          <w:rFonts w:ascii="Times New Roman" w:eastAsia="Calibri" w:hAnsi="Times New Roman" w:cs="Times New Roman"/>
          <w:sz w:val="28"/>
          <w:szCs w:val="28"/>
        </w:rPr>
        <w:t>развития и инвестиций</w:t>
      </w:r>
    </w:p>
    <w:p w:rsidR="00BF40CB" w:rsidRDefault="00F07963" w:rsidP="00F07963">
      <w:pPr>
        <w:autoSpaceDE w:val="0"/>
        <w:autoSpaceDN w:val="0"/>
        <w:adjustRightInd w:val="0"/>
        <w:spacing w:after="0" w:line="240" w:lineRule="auto"/>
        <w:jc w:val="right"/>
      </w:pPr>
      <w:r w:rsidRPr="00F07963">
        <w:rPr>
          <w:rFonts w:ascii="Times New Roman" w:eastAsia="Calibri" w:hAnsi="Times New Roman" w:cs="Times New Roman"/>
          <w:sz w:val="28"/>
          <w:szCs w:val="28"/>
        </w:rPr>
        <w:t>аппарата главы Волгограда</w:t>
      </w:r>
    </w:p>
    <w:sectPr w:rsidR="00BF4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63"/>
    <w:rsid w:val="001C712A"/>
    <w:rsid w:val="00BB01D6"/>
    <w:rsid w:val="00BF40CB"/>
    <w:rsid w:val="00F0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D22717-BF67-43A8-917C-A6F634AA85E6}"/>
</file>

<file path=customXml/itemProps2.xml><?xml version="1.0" encoding="utf-8"?>
<ds:datastoreItem xmlns:ds="http://schemas.openxmlformats.org/officeDocument/2006/customXml" ds:itemID="{25F7E014-F60D-437F-88F3-405AB05732C6}"/>
</file>

<file path=customXml/itemProps3.xml><?xml version="1.0" encoding="utf-8"?>
<ds:datastoreItem xmlns:ds="http://schemas.openxmlformats.org/officeDocument/2006/customXml" ds:itemID="{48474540-6E02-4750-B31F-8F090260A1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Светлана Владимировна</dc:creator>
  <cp:lastModifiedBy>Степанова Наталия Васильевна</cp:lastModifiedBy>
  <cp:revision>4</cp:revision>
  <dcterms:created xsi:type="dcterms:W3CDTF">2021-12-03T11:48:00Z</dcterms:created>
  <dcterms:modified xsi:type="dcterms:W3CDTF">2023-12-07T07:15:00Z</dcterms:modified>
</cp:coreProperties>
</file>