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Заместитель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1F165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8C0637">
        <w:rPr>
          <w:b/>
          <w:color w:val="FF0000"/>
          <w:spacing w:val="52"/>
          <w:szCs w:val="28"/>
        </w:rPr>
        <w:t>807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5E78B6">
        <w:rPr>
          <w:b/>
          <w:color w:val="FF0000"/>
          <w:spacing w:val="52"/>
          <w:szCs w:val="28"/>
        </w:rPr>
        <w:t xml:space="preserve">от </w:t>
      </w:r>
      <w:r w:rsidR="00DF5B48">
        <w:rPr>
          <w:b/>
          <w:color w:val="FF0000"/>
          <w:spacing w:val="52"/>
          <w:szCs w:val="28"/>
        </w:rPr>
        <w:t>29.11</w:t>
      </w:r>
      <w:r w:rsidR="001F165C" w:rsidRPr="007A5504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1F25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A53FC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A53FC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A53FC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A53FCC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A53FCC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A53FC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A53FC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A5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A53FC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A5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A53FC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A5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A53FC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A53FCC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7D6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A53FCC" w:rsidRDefault="007D6320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A53FCC" w:rsidRDefault="007D6320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A53FCC" w:rsidRDefault="007D6320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21-23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A53FCC" w:rsidRDefault="007D6320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A53FCC" w:rsidRDefault="007D6320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A53FCC" w:rsidRDefault="007D6320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A53FCC" w:rsidRDefault="007D6320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A53FCC" w:rsidRDefault="007D6320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7D6320" w:rsidRPr="00DF5B48" w:rsidTr="00583D64">
        <w:tc>
          <w:tcPr>
            <w:tcW w:w="817" w:type="dxa"/>
          </w:tcPr>
          <w:p w:rsidR="007D6320" w:rsidRDefault="007D6320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7D6320" w:rsidRDefault="007D6320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0F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7D6320" w:rsidRPr="00A53FCC" w:rsidRDefault="007D6320" w:rsidP="00610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7D6320" w:rsidRPr="00DF5B48" w:rsidTr="00583D64">
        <w:tc>
          <w:tcPr>
            <w:tcW w:w="817" w:type="dxa"/>
          </w:tcPr>
          <w:p w:rsidR="007D6320" w:rsidRDefault="007D6320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7D6320" w:rsidRDefault="007D6320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11</w:t>
            </w:r>
            <w:r w:rsidRPr="000F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7D6320" w:rsidRPr="00A53FCC" w:rsidRDefault="007D6320" w:rsidP="00610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7D6320" w:rsidRPr="00DF5B48" w:rsidTr="00583D64">
        <w:tc>
          <w:tcPr>
            <w:tcW w:w="817" w:type="dxa"/>
          </w:tcPr>
          <w:p w:rsidR="007D6320" w:rsidRDefault="007D6320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:rsidR="007D6320" w:rsidRDefault="007D6320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12</w:t>
            </w:r>
            <w:r w:rsidRPr="000F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7D6320" w:rsidRPr="00A53FCC" w:rsidRDefault="007D6320" w:rsidP="00610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7D6320" w:rsidRPr="00DF5B48" w:rsidTr="00583D64">
        <w:tc>
          <w:tcPr>
            <w:tcW w:w="817" w:type="dxa"/>
          </w:tcPr>
          <w:p w:rsidR="007D6320" w:rsidRDefault="007D6320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:rsidR="007D6320" w:rsidRDefault="007D6320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13</w:t>
            </w:r>
            <w:r w:rsidRPr="000F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7D6320" w:rsidRPr="00A53FCC" w:rsidRDefault="007D6320" w:rsidP="00610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C726A" w:rsidRPr="008C726A">
        <w:rPr>
          <w:rFonts w:ascii="Times New Roman" w:hAnsi="Times New Roman" w:cs="Times New Roman"/>
          <w:sz w:val="24"/>
          <w:szCs w:val="24"/>
        </w:rPr>
        <w:t>29.07.2020 № 29/539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204B96">
        <w:rPr>
          <w:rFonts w:ascii="Times New Roman" w:hAnsi="Times New Roman" w:cs="Times New Roman"/>
          <w:sz w:val="24"/>
          <w:szCs w:val="24"/>
        </w:rPr>
        <w:t>распоряжениями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33CF7" w:rsidRPr="00E201CA">
        <w:rPr>
          <w:rFonts w:ascii="Times New Roman" w:hAnsi="Times New Roman" w:cs="Times New Roman"/>
          <w:sz w:val="24"/>
          <w:szCs w:val="24"/>
        </w:rPr>
        <w:t xml:space="preserve">от  </w:t>
      </w:r>
      <w:r w:rsidR="00DF5B48" w:rsidRPr="00DF5B48">
        <w:rPr>
          <w:rFonts w:ascii="Times New Roman" w:hAnsi="Times New Roman" w:cs="Times New Roman"/>
          <w:b/>
          <w:color w:val="FF0000"/>
          <w:sz w:val="24"/>
          <w:szCs w:val="24"/>
        </w:rPr>
        <w:t>29.10</w:t>
      </w:r>
      <w:r w:rsidR="00150A1C" w:rsidRPr="00DF5B48">
        <w:rPr>
          <w:rFonts w:ascii="Times New Roman" w:hAnsi="Times New Roman" w:cs="Times New Roman"/>
          <w:b/>
          <w:color w:val="FF0000"/>
          <w:sz w:val="24"/>
          <w:szCs w:val="24"/>
        </w:rPr>
        <w:t>.11</w:t>
      </w:r>
      <w:r w:rsidR="001F252E" w:rsidRPr="00DF5B4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0264B7" w:rsidRPr="00DF5B4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264B7" w:rsidRPr="00DF5B4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      </w:t>
      </w:r>
      <w:r w:rsidR="00457578" w:rsidRPr="00DF5B4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№ </w:t>
      </w:r>
      <w:r w:rsidR="00DF5B48" w:rsidRPr="00DF5B48">
        <w:rPr>
          <w:rFonts w:ascii="Times New Roman" w:hAnsi="Times New Roman" w:cs="Times New Roman"/>
          <w:b/>
          <w:color w:val="FF0000"/>
          <w:sz w:val="24"/>
          <w:szCs w:val="24"/>
        </w:rPr>
        <w:t>4547</w:t>
      </w:r>
      <w:r w:rsidRPr="00DF5B48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15.11.2021 № 4713р, 26.11.2021 № 4854р, 29.11.2021 № 4892р, </w:t>
      </w:r>
      <w:r w:rsidR="00081BE3" w:rsidRPr="00081BE3">
        <w:rPr>
          <w:rFonts w:ascii="Times New Roman" w:hAnsi="Times New Roman" w:cs="Times New Roman"/>
          <w:b/>
          <w:color w:val="FF0000"/>
          <w:sz w:val="24"/>
          <w:szCs w:val="24"/>
        </w:rPr>
        <w:t>29.11.2021 № 4907</w:t>
      </w:r>
      <w:r w:rsidR="003B3144" w:rsidRPr="00081BE3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 xml:space="preserve"> «О передаче в аренду недвижимого муниципального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(размещен по адресу: http://utp.sberbank-ast.ru/AP/Notice/1027/Instructions).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>5 лотам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1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2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lastRenderedPageBreak/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2B402F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1554E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B402F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1A0225" w:rsidRPr="001554EE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1554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150A1C">
        <w:rPr>
          <w:rFonts w:ascii="Times New Roman" w:hAnsi="Times New Roman" w:cs="Times New Roman"/>
          <w:b/>
          <w:color w:val="FF0000"/>
          <w:sz w:val="24"/>
          <w:szCs w:val="24"/>
        </w:rPr>
        <w:t>22.12</w:t>
      </w:r>
      <w:r w:rsidR="00EF1DC1" w:rsidRPr="001554EE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1554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150A1C">
        <w:rPr>
          <w:rFonts w:ascii="Times New Roman" w:hAnsi="Times New Roman" w:cs="Times New Roman"/>
          <w:b/>
          <w:color w:val="FF0000"/>
          <w:sz w:val="24"/>
          <w:szCs w:val="24"/>
        </w:rPr>
        <w:t>28.12</w:t>
      </w:r>
      <w:r w:rsidR="00EF1DC1" w:rsidRPr="001554EE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1554EE">
        <w:rPr>
          <w:rFonts w:ascii="Times New Roman" w:hAnsi="Times New Roman" w:cs="Times New Roman"/>
          <w:sz w:val="24"/>
          <w:szCs w:val="24"/>
        </w:rPr>
        <w:t>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1554EE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8E12A8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150A1C">
        <w:rPr>
          <w:rFonts w:ascii="Times New Roman" w:hAnsi="Times New Roman" w:cs="Times New Roman"/>
          <w:b/>
          <w:color w:val="FF0000"/>
          <w:sz w:val="24"/>
          <w:szCs w:val="24"/>
        </w:rPr>
        <w:t>9.12</w:t>
      </w:r>
      <w:r w:rsidR="00EF1DC1" w:rsidRPr="001554EE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1554EE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150A1C">
        <w:rPr>
          <w:rFonts w:ascii="Times New Roman" w:hAnsi="Times New Roman" w:cs="Times New Roman"/>
          <w:b/>
          <w:color w:val="FF0000"/>
          <w:sz w:val="24"/>
          <w:szCs w:val="24"/>
        </w:rPr>
        <w:t>29.12</w:t>
      </w:r>
      <w:r w:rsidR="00EF1DC1" w:rsidRPr="001554EE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 xml:space="preserve">преобразования информации с использованием закрытого ключа </w:t>
      </w:r>
      <w:r w:rsidRPr="005B70EE">
        <w:rPr>
          <w:rFonts w:ascii="Times New Roman" w:hAnsi="Times New Roman" w:cs="Times New Roman"/>
          <w:sz w:val="24"/>
          <w:szCs w:val="24"/>
        </w:rPr>
        <w:lastRenderedPageBreak/>
        <w:t>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3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Договор аренды считается заключенным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F1628D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F1628D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4"/>
          <w:headerReference w:type="first" r:id="rId15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134"/>
        <w:gridCol w:w="1984"/>
        <w:gridCol w:w="1418"/>
        <w:gridCol w:w="1418"/>
        <w:gridCol w:w="1418"/>
        <w:gridCol w:w="992"/>
        <w:gridCol w:w="1559"/>
        <w:gridCol w:w="1276"/>
        <w:gridCol w:w="1275"/>
        <w:gridCol w:w="1134"/>
        <w:gridCol w:w="850"/>
        <w:gridCol w:w="851"/>
      </w:tblGrid>
      <w:tr w:rsidR="008C0637" w:rsidRPr="00142FB8" w:rsidTr="00DD46A5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37" w:rsidRPr="00142FB8" w:rsidRDefault="008C0637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37" w:rsidRPr="00142FB8" w:rsidRDefault="008C0637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37" w:rsidRPr="00142FB8" w:rsidRDefault="008C0637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37" w:rsidRDefault="008C0637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8C0637" w:rsidRDefault="008C0637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8C0637" w:rsidRPr="00142FB8" w:rsidRDefault="00987EA9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37" w:rsidRDefault="008C0637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8C0637" w:rsidRDefault="008C0637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8C0637" w:rsidRPr="00142FB8" w:rsidRDefault="008C0637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8C0637">
              <w:rPr>
                <w:rFonts w:ascii="Times New Roman" w:eastAsia="Verdana" w:hAnsi="Times New Roman" w:cs="Times New Roman"/>
                <w:sz w:val="18"/>
                <w:szCs w:val="18"/>
              </w:rPr>
              <w:t>Ограничения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37" w:rsidRPr="007C0346" w:rsidRDefault="008C0637" w:rsidP="001A0225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37" w:rsidRPr="00142FB8" w:rsidRDefault="008C0637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37" w:rsidRPr="00142FB8" w:rsidRDefault="008C0637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37" w:rsidRPr="00142FB8" w:rsidRDefault="008C0637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37" w:rsidRPr="00142FB8" w:rsidRDefault="008C0637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637" w:rsidRPr="00142FB8" w:rsidRDefault="008C0637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37" w:rsidRPr="00142FB8" w:rsidRDefault="008C0637" w:rsidP="001A0225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637" w:rsidRPr="00142FB8" w:rsidRDefault="008C0637" w:rsidP="001A0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8C0637" w:rsidRPr="00142FB8" w:rsidTr="00DD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8C0637" w:rsidRPr="00142FB8" w:rsidRDefault="008C063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8C0637" w:rsidRPr="008C0637" w:rsidRDefault="008C0637" w:rsidP="008C06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Здание фильтров Центрального ВОС площадью  525,2 </w:t>
            </w:r>
            <w:proofErr w:type="spellStart"/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</w:p>
          <w:p w:rsidR="008C0637" w:rsidRPr="008C0637" w:rsidRDefault="008C0637" w:rsidP="008C06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№1, площадью 402,9 </w:t>
            </w:r>
            <w:proofErr w:type="spellStart"/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(1, 2 этажи),</w:t>
            </w:r>
          </w:p>
          <w:p w:rsidR="008C0637" w:rsidRPr="008C0637" w:rsidRDefault="008C0637" w:rsidP="008C06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помещение, площадью 270,8 </w:t>
            </w:r>
            <w:proofErr w:type="spellStart"/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(1, 2, 3 </w:t>
            </w:r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этажи),</w:t>
            </w:r>
          </w:p>
          <w:p w:rsidR="008C0637" w:rsidRPr="008C0637" w:rsidRDefault="008C0637" w:rsidP="008C06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помещение, площадью 264,1 </w:t>
            </w:r>
            <w:proofErr w:type="spellStart"/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(1, 2 этажи),</w:t>
            </w:r>
          </w:p>
          <w:p w:rsidR="008C0637" w:rsidRPr="008C0637" w:rsidRDefault="008C0637" w:rsidP="008C06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помещение, площадью 95,7 </w:t>
            </w:r>
            <w:proofErr w:type="spellStart"/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(2 этаж);</w:t>
            </w:r>
          </w:p>
          <w:p w:rsidR="008C0637" w:rsidRPr="008C0637" w:rsidRDefault="008C0637" w:rsidP="008C06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ограждение территории Центрального водопровода протяженностью 309,3 м.;</w:t>
            </w:r>
          </w:p>
          <w:p w:rsidR="008C0637" w:rsidRPr="008C0637" w:rsidRDefault="008C0637" w:rsidP="008C06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декоративно-художественное освещение здания.</w:t>
            </w:r>
          </w:p>
          <w:p w:rsidR="008C0637" w:rsidRPr="00750EDE" w:rsidRDefault="008C0637" w:rsidP="00462E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8C0637" w:rsidRPr="00750EDE" w:rsidRDefault="008C0637" w:rsidP="00462E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Волгоград, Центральный район, Набережная 62-й Армии, 5</w:t>
            </w:r>
          </w:p>
        </w:tc>
        <w:tc>
          <w:tcPr>
            <w:tcW w:w="1418" w:type="dxa"/>
          </w:tcPr>
          <w:p w:rsidR="008C0637" w:rsidRDefault="008C0637" w:rsidP="00C01B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87EA9" w:rsidRDefault="00987EA9" w:rsidP="00C01B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87EA9" w:rsidRDefault="00987EA9" w:rsidP="00C01B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87EA9" w:rsidRDefault="00987EA9" w:rsidP="00C01B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87EA9" w:rsidRDefault="00987EA9" w:rsidP="00987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7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</w:tc>
        <w:tc>
          <w:tcPr>
            <w:tcW w:w="1418" w:type="dxa"/>
          </w:tcPr>
          <w:p w:rsidR="00DD46A5" w:rsidRDefault="00DD46A5" w:rsidP="0017469E">
            <w:pPr>
              <w:pStyle w:val="a8"/>
              <w:ind w:left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 w:rsidR="008C0637" w:rsidRPr="00DD4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Федерации», касающиеся объекта аренды, так как </w:t>
            </w:r>
            <w:r w:rsidR="008C0637" w:rsidRPr="00DD4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недвижимое имущество входит в состав памятника истории и культуры</w:t>
            </w:r>
            <w:r w:rsidRPr="00DD4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DD46A5" w:rsidRDefault="00DD46A5" w:rsidP="0017469E">
            <w:pPr>
              <w:pStyle w:val="a8"/>
              <w:ind w:left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D46A5" w:rsidRPr="00DD46A5" w:rsidRDefault="00DD46A5" w:rsidP="0017469E">
            <w:pPr>
              <w:pStyle w:val="a8"/>
              <w:ind w:left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Фактическое пользование департамента жилищно-коммунального хозяйства и топливно-энергетического комплекса администрации Волгограда до момента передачи объекта победителю/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единственно-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участнику аукциона</w:t>
            </w:r>
          </w:p>
        </w:tc>
        <w:tc>
          <w:tcPr>
            <w:tcW w:w="1418" w:type="dxa"/>
          </w:tcPr>
          <w:p w:rsidR="008C0637" w:rsidRDefault="008C0637" w:rsidP="00C01B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0637" w:rsidRDefault="008C0637" w:rsidP="00C01B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0637" w:rsidRDefault="008C0637" w:rsidP="00C01B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0637" w:rsidRDefault="008C0637" w:rsidP="00C01B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0637" w:rsidRDefault="008C0637" w:rsidP="00C01BB4">
            <w:pPr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8C0637" w:rsidRPr="00FB605D" w:rsidRDefault="008C0637" w:rsidP="00462E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1558,7</w:t>
            </w:r>
          </w:p>
        </w:tc>
        <w:tc>
          <w:tcPr>
            <w:tcW w:w="1559" w:type="dxa"/>
            <w:vAlign w:val="center"/>
          </w:tcPr>
          <w:p w:rsidR="008C0637" w:rsidRPr="008C0637" w:rsidRDefault="008C0637" w:rsidP="008C06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bookmarkStart w:id="0" w:name="nreg"/>
            <w:bookmarkEnd w:id="0"/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34-34-01/186/2012-800 от 10.12.2012,</w:t>
            </w:r>
          </w:p>
          <w:p w:rsidR="008C0637" w:rsidRPr="008C0637" w:rsidRDefault="008C0637" w:rsidP="008C06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34-34-01/209/2014-25 </w:t>
            </w:r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от 12.08.2014,</w:t>
            </w:r>
          </w:p>
          <w:p w:rsidR="008C0637" w:rsidRPr="008C0637" w:rsidRDefault="008C0637" w:rsidP="008C06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34-34-01/400/2008-356 от 22.12.2008,</w:t>
            </w:r>
          </w:p>
          <w:p w:rsidR="008C0637" w:rsidRPr="008C0637" w:rsidRDefault="008C0637" w:rsidP="008C06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№34:34:040018:104-34/001/2018-1 от 06.04.2018,</w:t>
            </w:r>
          </w:p>
          <w:p w:rsidR="008C0637" w:rsidRPr="008C0637" w:rsidRDefault="008C0637" w:rsidP="008C06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№34:34:040018:108-34/001/2018-1 от 06.04.2018).</w:t>
            </w:r>
          </w:p>
        </w:tc>
        <w:tc>
          <w:tcPr>
            <w:tcW w:w="1276" w:type="dxa"/>
            <w:vAlign w:val="center"/>
          </w:tcPr>
          <w:p w:rsidR="008C0637" w:rsidRPr="008C0637" w:rsidRDefault="008C0637" w:rsidP="008C06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092/1-21 от 01.09.2021;</w:t>
            </w:r>
          </w:p>
          <w:p w:rsidR="008C0637" w:rsidRPr="008C0637" w:rsidRDefault="008C0637" w:rsidP="008C06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092/2-21 от 01.09.2021; 092/3-21 от 01.09.2021</w:t>
            </w:r>
          </w:p>
        </w:tc>
        <w:tc>
          <w:tcPr>
            <w:tcW w:w="1275" w:type="dxa"/>
            <w:vAlign w:val="center"/>
          </w:tcPr>
          <w:p w:rsidR="008C0637" w:rsidRPr="008C0637" w:rsidRDefault="008C0637" w:rsidP="008C06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490 722,50</w:t>
            </w:r>
          </w:p>
        </w:tc>
        <w:tc>
          <w:tcPr>
            <w:tcW w:w="1134" w:type="dxa"/>
          </w:tcPr>
          <w:p w:rsidR="008C0637" w:rsidRPr="00C01BB4" w:rsidRDefault="008C0637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C0637" w:rsidRDefault="008C0637" w:rsidP="00C01B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C0637" w:rsidRPr="00FB605D" w:rsidRDefault="008C0637" w:rsidP="00C01B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C0637" w:rsidRDefault="008C0637" w:rsidP="00C01B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C0637" w:rsidRPr="007D22AE" w:rsidRDefault="008C0637" w:rsidP="00C01BB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8C0637" w:rsidRPr="00142FB8" w:rsidRDefault="008C0637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490 722,50</w:t>
            </w:r>
          </w:p>
        </w:tc>
        <w:tc>
          <w:tcPr>
            <w:tcW w:w="850" w:type="dxa"/>
            <w:vAlign w:val="center"/>
          </w:tcPr>
          <w:p w:rsidR="008C0637" w:rsidRPr="00142FB8" w:rsidRDefault="007D22AE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851" w:type="dxa"/>
          </w:tcPr>
          <w:p w:rsidR="008C0637" w:rsidRPr="00155AAB" w:rsidRDefault="008C0637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C0637" w:rsidRPr="00155AAB" w:rsidRDefault="008C0637" w:rsidP="00355E4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C0637" w:rsidRPr="00155AAB" w:rsidRDefault="008C0637" w:rsidP="00355E4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C0637" w:rsidRDefault="008C0637" w:rsidP="00355E4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D22AE" w:rsidRPr="007D22AE" w:rsidRDefault="007D22AE" w:rsidP="00355E4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  <w:p w:rsidR="008C0637" w:rsidRPr="008C0637" w:rsidRDefault="008C0637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впервые</w:t>
            </w:r>
          </w:p>
        </w:tc>
      </w:tr>
      <w:tr w:rsidR="006131F0" w:rsidRPr="00142FB8" w:rsidTr="00DD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131F0" w:rsidRDefault="006131F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6131F0" w:rsidRPr="00630463" w:rsidRDefault="006131F0" w:rsidP="00630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(1-й этаж)</w:t>
            </w:r>
          </w:p>
        </w:tc>
        <w:tc>
          <w:tcPr>
            <w:tcW w:w="1984" w:type="dxa"/>
            <w:vAlign w:val="center"/>
          </w:tcPr>
          <w:p w:rsidR="006131F0" w:rsidRPr="00630463" w:rsidRDefault="006131F0" w:rsidP="00630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Красноармейский район, ул. 64 Армии, д. 2</w:t>
            </w:r>
          </w:p>
        </w:tc>
        <w:tc>
          <w:tcPr>
            <w:tcW w:w="1418" w:type="dxa"/>
          </w:tcPr>
          <w:p w:rsidR="006131F0" w:rsidRPr="00630463" w:rsidRDefault="006131F0" w:rsidP="0063046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 Вход через подъезд жилого дома.</w:t>
            </w:r>
          </w:p>
          <w:p w:rsidR="006131F0" w:rsidRPr="00630463" w:rsidRDefault="006131F0" w:rsidP="0063046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бетонный. Стены окрашенные. Потолок побелен. Окон нет, двери в наличии.</w:t>
            </w:r>
          </w:p>
          <w:p w:rsidR="006131F0" w:rsidRDefault="006131F0" w:rsidP="006304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электроснабжения, теплоснабжения имеются, водоснабжения и канализация отсутствуют.</w:t>
            </w:r>
          </w:p>
        </w:tc>
        <w:tc>
          <w:tcPr>
            <w:tcW w:w="1418" w:type="dxa"/>
          </w:tcPr>
          <w:p w:rsidR="006131F0" w:rsidRDefault="006131F0" w:rsidP="0017469E">
            <w:pPr>
              <w:pStyle w:val="a8"/>
              <w:ind w:left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131F0" w:rsidRDefault="006131F0" w:rsidP="0017469E">
            <w:pPr>
              <w:pStyle w:val="a8"/>
              <w:ind w:left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131F0" w:rsidRDefault="006131F0" w:rsidP="0017469E">
            <w:pPr>
              <w:pStyle w:val="a8"/>
              <w:ind w:left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131F0" w:rsidRDefault="006131F0" w:rsidP="0017469E">
            <w:pPr>
              <w:pStyle w:val="a8"/>
              <w:ind w:left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131F0" w:rsidRDefault="006131F0" w:rsidP="0017469E">
            <w:pPr>
              <w:pStyle w:val="a8"/>
              <w:ind w:left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131F0" w:rsidRDefault="006131F0" w:rsidP="0017469E">
            <w:pPr>
              <w:pStyle w:val="a8"/>
              <w:ind w:left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131F0" w:rsidRDefault="006131F0" w:rsidP="0017469E">
            <w:pPr>
              <w:pStyle w:val="a8"/>
              <w:ind w:left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131F0" w:rsidRDefault="006131F0" w:rsidP="0017469E">
            <w:pPr>
              <w:pStyle w:val="a8"/>
              <w:ind w:left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131F0" w:rsidRDefault="006131F0" w:rsidP="0017469E">
            <w:pPr>
              <w:pStyle w:val="a8"/>
              <w:ind w:left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77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  <w:proofErr w:type="gramStart"/>
            <w:r w:rsidRPr="004477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установлены</w:t>
            </w:r>
            <w:proofErr w:type="gramEnd"/>
          </w:p>
        </w:tc>
        <w:tc>
          <w:tcPr>
            <w:tcW w:w="1418" w:type="dxa"/>
          </w:tcPr>
          <w:p w:rsidR="006131F0" w:rsidRDefault="006131F0" w:rsidP="00447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131F0" w:rsidRDefault="006131F0" w:rsidP="00447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131F0" w:rsidRDefault="006131F0" w:rsidP="00447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131F0" w:rsidRDefault="006131F0" w:rsidP="00447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131F0" w:rsidRDefault="006131F0" w:rsidP="00447771">
            <w:pPr>
              <w:jc w:val="center"/>
            </w:pPr>
            <w:r w:rsidRPr="00ED4D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6131F0" w:rsidRPr="006131F0" w:rsidRDefault="006131F0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31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559" w:type="dxa"/>
            <w:vAlign w:val="center"/>
          </w:tcPr>
          <w:p w:rsidR="006131F0" w:rsidRPr="006131F0" w:rsidRDefault="006131F0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31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34:34:070030:2520-34/209/2021-1</w:t>
            </w:r>
          </w:p>
          <w:p w:rsidR="006131F0" w:rsidRPr="006131F0" w:rsidRDefault="006131F0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31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30.08.2021</w:t>
            </w:r>
          </w:p>
        </w:tc>
        <w:tc>
          <w:tcPr>
            <w:tcW w:w="1276" w:type="dxa"/>
            <w:vAlign w:val="center"/>
          </w:tcPr>
          <w:p w:rsidR="006131F0" w:rsidRPr="006131F0" w:rsidRDefault="006131F0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31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4566/21</w:t>
            </w:r>
          </w:p>
          <w:p w:rsidR="006131F0" w:rsidRPr="006131F0" w:rsidRDefault="006131F0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31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08.09.2021</w:t>
            </w:r>
          </w:p>
        </w:tc>
        <w:tc>
          <w:tcPr>
            <w:tcW w:w="1275" w:type="dxa"/>
            <w:vAlign w:val="center"/>
          </w:tcPr>
          <w:p w:rsidR="006131F0" w:rsidRPr="006131F0" w:rsidRDefault="006131F0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31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868,00</w:t>
            </w:r>
          </w:p>
        </w:tc>
        <w:tc>
          <w:tcPr>
            <w:tcW w:w="1134" w:type="dxa"/>
          </w:tcPr>
          <w:p w:rsidR="006131F0" w:rsidRDefault="006131F0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131F0" w:rsidRDefault="006131F0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131F0" w:rsidRDefault="006131F0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131F0" w:rsidRDefault="006131F0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131F0" w:rsidRPr="006131F0" w:rsidRDefault="006131F0" w:rsidP="00355E4A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6131F0" w:rsidRPr="00C01BB4" w:rsidRDefault="006131F0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1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868,00</w:t>
            </w:r>
          </w:p>
        </w:tc>
        <w:tc>
          <w:tcPr>
            <w:tcW w:w="850" w:type="dxa"/>
            <w:vAlign w:val="center"/>
          </w:tcPr>
          <w:p w:rsidR="006131F0" w:rsidRPr="00142FB8" w:rsidRDefault="006131F0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851" w:type="dxa"/>
          </w:tcPr>
          <w:p w:rsidR="006131F0" w:rsidRPr="00155AAB" w:rsidRDefault="006131F0" w:rsidP="006100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131F0" w:rsidRPr="00155AAB" w:rsidRDefault="006131F0" w:rsidP="006100D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131F0" w:rsidRPr="00155AAB" w:rsidRDefault="006131F0" w:rsidP="006100D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131F0" w:rsidRDefault="006131F0" w:rsidP="006100D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131F0" w:rsidRPr="007D22AE" w:rsidRDefault="006131F0" w:rsidP="006100D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  <w:p w:rsidR="006131F0" w:rsidRPr="008C0637" w:rsidRDefault="006131F0" w:rsidP="006100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впервые</w:t>
            </w:r>
          </w:p>
        </w:tc>
      </w:tr>
      <w:tr w:rsidR="006A2C06" w:rsidRPr="00142FB8" w:rsidTr="00DD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A2C06" w:rsidRDefault="006A2C06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A2C06" w:rsidRPr="00DA584A" w:rsidRDefault="006A2C06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8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 трансформаторной подстанции 173</w:t>
            </w:r>
          </w:p>
        </w:tc>
        <w:tc>
          <w:tcPr>
            <w:tcW w:w="1984" w:type="dxa"/>
            <w:vAlign w:val="center"/>
          </w:tcPr>
          <w:p w:rsidR="006A2C06" w:rsidRPr="00DA584A" w:rsidRDefault="006A2C06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8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маршала Чуйкова, д. 11</w:t>
            </w:r>
          </w:p>
        </w:tc>
        <w:tc>
          <w:tcPr>
            <w:tcW w:w="1418" w:type="dxa"/>
          </w:tcPr>
          <w:p w:rsidR="006A2C06" w:rsidRPr="00DA584A" w:rsidRDefault="006A2C06" w:rsidP="00DA584A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8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6A2C06" w:rsidRDefault="006A2C06" w:rsidP="00DA58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8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 Пол – бетонный, стены – окрашенные, потолок – побеленный. Окна отсутствуют.</w:t>
            </w:r>
          </w:p>
        </w:tc>
        <w:tc>
          <w:tcPr>
            <w:tcW w:w="1418" w:type="dxa"/>
          </w:tcPr>
          <w:p w:rsidR="006A2C06" w:rsidRPr="00DA584A" w:rsidRDefault="006A2C06" w:rsidP="00DA584A">
            <w:pPr>
              <w:pStyle w:val="a8"/>
              <w:ind w:left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8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</w:t>
            </w:r>
            <w:r w:rsidRPr="00DA58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Федерации», касающиеся объекта аренды, так как недвижимое имущество входит в состав памятника истории и культуры;</w:t>
            </w:r>
          </w:p>
          <w:p w:rsidR="006A2C06" w:rsidRDefault="006A2C06" w:rsidP="00DA584A">
            <w:pPr>
              <w:pStyle w:val="a8"/>
              <w:ind w:left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8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Фактическое пользование АО «ВМЭС»</w:t>
            </w:r>
          </w:p>
        </w:tc>
        <w:tc>
          <w:tcPr>
            <w:tcW w:w="1418" w:type="dxa"/>
          </w:tcPr>
          <w:p w:rsidR="006A2C06" w:rsidRDefault="006A2C06" w:rsidP="00447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A2C06" w:rsidRDefault="006A2C06" w:rsidP="00447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A2C06" w:rsidRDefault="006A2C06" w:rsidP="00447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A2C06" w:rsidRDefault="006A2C06" w:rsidP="00447771">
            <w:pPr>
              <w:jc w:val="center"/>
            </w:pPr>
            <w:r w:rsidRPr="00ED4D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6A2C06" w:rsidRPr="006A2C06" w:rsidRDefault="006A2C06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2C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559" w:type="dxa"/>
            <w:vAlign w:val="center"/>
          </w:tcPr>
          <w:p w:rsidR="006A2C06" w:rsidRPr="006A2C06" w:rsidRDefault="006A2C06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2C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34-34-01/246/2005-385</w:t>
            </w:r>
          </w:p>
          <w:p w:rsidR="006A2C06" w:rsidRPr="006A2C06" w:rsidRDefault="006A2C06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2C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16.01.2006</w:t>
            </w:r>
          </w:p>
        </w:tc>
        <w:tc>
          <w:tcPr>
            <w:tcW w:w="1276" w:type="dxa"/>
            <w:vAlign w:val="center"/>
          </w:tcPr>
          <w:p w:rsidR="006A2C06" w:rsidRPr="006A2C06" w:rsidRDefault="006A2C06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2C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4280/21</w:t>
            </w:r>
          </w:p>
          <w:p w:rsidR="006A2C06" w:rsidRPr="006A2C06" w:rsidRDefault="006A2C06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2C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28.08.2021</w:t>
            </w:r>
          </w:p>
        </w:tc>
        <w:tc>
          <w:tcPr>
            <w:tcW w:w="1275" w:type="dxa"/>
            <w:vAlign w:val="center"/>
          </w:tcPr>
          <w:p w:rsidR="006A2C06" w:rsidRPr="006A2C06" w:rsidRDefault="006A2C06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2C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10 530,00</w:t>
            </w:r>
          </w:p>
        </w:tc>
        <w:tc>
          <w:tcPr>
            <w:tcW w:w="1134" w:type="dxa"/>
          </w:tcPr>
          <w:p w:rsidR="006A2C06" w:rsidRDefault="006A2C06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A2C06" w:rsidRDefault="006A2C06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A2C06" w:rsidRDefault="006A2C06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A2C06" w:rsidRDefault="006A2C06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A2C06" w:rsidRPr="00C01BB4" w:rsidRDefault="006A2C06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2C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10 530,00</w:t>
            </w:r>
          </w:p>
        </w:tc>
        <w:tc>
          <w:tcPr>
            <w:tcW w:w="850" w:type="dxa"/>
            <w:vAlign w:val="center"/>
          </w:tcPr>
          <w:p w:rsidR="006A2C06" w:rsidRPr="00142FB8" w:rsidRDefault="006A2C06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851" w:type="dxa"/>
          </w:tcPr>
          <w:p w:rsidR="006A2C06" w:rsidRPr="00155AAB" w:rsidRDefault="006A2C06" w:rsidP="006100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A2C06" w:rsidRDefault="006A2C06" w:rsidP="006100D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A2C06" w:rsidRDefault="006A2C06" w:rsidP="006100D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A2C06" w:rsidRPr="006A2C06" w:rsidRDefault="006A2C06" w:rsidP="006100D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A2C06" w:rsidRPr="008C0637" w:rsidRDefault="006A2C06" w:rsidP="006100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впервые</w:t>
            </w:r>
          </w:p>
        </w:tc>
      </w:tr>
      <w:tr w:rsidR="003233A4" w:rsidRPr="00142FB8" w:rsidTr="00DD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233A4" w:rsidRDefault="003233A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134" w:type="dxa"/>
            <w:vAlign w:val="center"/>
          </w:tcPr>
          <w:p w:rsidR="003233A4" w:rsidRPr="003233A4" w:rsidRDefault="003233A4" w:rsidP="003233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 (1-й этаж)</w:t>
            </w:r>
          </w:p>
        </w:tc>
        <w:tc>
          <w:tcPr>
            <w:tcW w:w="1984" w:type="dxa"/>
            <w:vAlign w:val="center"/>
          </w:tcPr>
          <w:p w:rsidR="003233A4" w:rsidRPr="003233A4" w:rsidRDefault="003233A4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им. Лодыгина, д. 1</w:t>
            </w:r>
          </w:p>
        </w:tc>
        <w:tc>
          <w:tcPr>
            <w:tcW w:w="1418" w:type="dxa"/>
          </w:tcPr>
          <w:p w:rsidR="003233A4" w:rsidRPr="00927CAD" w:rsidRDefault="003233A4" w:rsidP="00927CA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C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 собственником</w:t>
            </w:r>
          </w:p>
          <w:p w:rsidR="003233A4" w:rsidRPr="00927CAD" w:rsidRDefault="003233A4" w:rsidP="00927CA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C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</w:p>
          <w:p w:rsidR="003233A4" w:rsidRPr="00927CAD" w:rsidRDefault="003233A4" w:rsidP="00927CA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C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</w:t>
            </w:r>
            <w:proofErr w:type="gramStart"/>
            <w:r w:rsidRPr="00927C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–б</w:t>
            </w:r>
            <w:proofErr w:type="gramEnd"/>
            <w:r w:rsidRPr="00927C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</w:p>
          <w:p w:rsidR="003233A4" w:rsidRPr="00927CAD" w:rsidRDefault="003233A4" w:rsidP="00927CA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C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окрашены, обои. Потолок – побелен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927C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3233A4" w:rsidRPr="00927CAD" w:rsidRDefault="003233A4" w:rsidP="00927CA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C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27C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имеются.</w:t>
            </w:r>
          </w:p>
          <w:p w:rsidR="003233A4" w:rsidRDefault="003233A4" w:rsidP="00927C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C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8" w:type="dxa"/>
          </w:tcPr>
          <w:p w:rsidR="003233A4" w:rsidRPr="003233A4" w:rsidRDefault="003233A4" w:rsidP="003233A4">
            <w:pPr>
              <w:pStyle w:val="a8"/>
              <w:ind w:left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Недвижимое имущество обременено ипотекой в пользу АО «БМ-Банк»;</w:t>
            </w:r>
          </w:p>
          <w:p w:rsidR="003233A4" w:rsidRDefault="003233A4" w:rsidP="003233A4">
            <w:pPr>
              <w:pStyle w:val="a8"/>
              <w:ind w:left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Объект культурного наследия (охранное обязательство от 15.06.2012 № 0108АРС/2012)</w:t>
            </w:r>
          </w:p>
        </w:tc>
        <w:tc>
          <w:tcPr>
            <w:tcW w:w="1418" w:type="dxa"/>
          </w:tcPr>
          <w:p w:rsidR="003233A4" w:rsidRDefault="003233A4" w:rsidP="00447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33A4" w:rsidRDefault="003233A4" w:rsidP="00447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33A4" w:rsidRDefault="003233A4" w:rsidP="00447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33A4" w:rsidRDefault="003233A4" w:rsidP="00447771">
            <w:pPr>
              <w:jc w:val="center"/>
            </w:pPr>
            <w:r w:rsidRPr="00ED4D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3233A4" w:rsidRPr="003233A4" w:rsidRDefault="003233A4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126,6</w:t>
            </w:r>
          </w:p>
        </w:tc>
        <w:tc>
          <w:tcPr>
            <w:tcW w:w="1559" w:type="dxa"/>
            <w:vAlign w:val="center"/>
          </w:tcPr>
          <w:p w:rsidR="003233A4" w:rsidRPr="003233A4" w:rsidRDefault="003233A4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34-34-01/071/2013-579</w:t>
            </w:r>
          </w:p>
          <w:p w:rsidR="003233A4" w:rsidRPr="003233A4" w:rsidRDefault="003233A4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29.04.2013</w:t>
            </w:r>
          </w:p>
        </w:tc>
        <w:tc>
          <w:tcPr>
            <w:tcW w:w="1276" w:type="dxa"/>
            <w:vAlign w:val="center"/>
          </w:tcPr>
          <w:p w:rsidR="003233A4" w:rsidRPr="003233A4" w:rsidRDefault="003233A4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5431/21</w:t>
            </w:r>
          </w:p>
          <w:p w:rsidR="003233A4" w:rsidRPr="003233A4" w:rsidRDefault="003233A4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15.10.2021</w:t>
            </w:r>
          </w:p>
        </w:tc>
        <w:tc>
          <w:tcPr>
            <w:tcW w:w="1275" w:type="dxa"/>
            <w:vAlign w:val="center"/>
          </w:tcPr>
          <w:p w:rsidR="003233A4" w:rsidRPr="003233A4" w:rsidRDefault="003233A4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16 458,00</w:t>
            </w:r>
          </w:p>
        </w:tc>
        <w:tc>
          <w:tcPr>
            <w:tcW w:w="1134" w:type="dxa"/>
          </w:tcPr>
          <w:p w:rsidR="003233A4" w:rsidRDefault="003233A4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33A4" w:rsidRPr="003233A4" w:rsidRDefault="003233A4" w:rsidP="00355E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33A4" w:rsidRPr="003233A4" w:rsidRDefault="003233A4" w:rsidP="00355E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33A4" w:rsidRPr="003233A4" w:rsidRDefault="003233A4" w:rsidP="00323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33A4" w:rsidRPr="00C01BB4" w:rsidRDefault="003233A4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16 458,00</w:t>
            </w:r>
          </w:p>
        </w:tc>
        <w:tc>
          <w:tcPr>
            <w:tcW w:w="850" w:type="dxa"/>
            <w:vAlign w:val="center"/>
          </w:tcPr>
          <w:p w:rsidR="003233A4" w:rsidRPr="00142FB8" w:rsidRDefault="003233A4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месяцев</w:t>
            </w:r>
          </w:p>
        </w:tc>
        <w:tc>
          <w:tcPr>
            <w:tcW w:w="851" w:type="dxa"/>
          </w:tcPr>
          <w:p w:rsidR="003233A4" w:rsidRPr="00155AAB" w:rsidRDefault="003233A4" w:rsidP="006100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233A4" w:rsidRDefault="003233A4" w:rsidP="006100D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233A4" w:rsidRDefault="003233A4" w:rsidP="006100D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233A4" w:rsidRDefault="003233A4" w:rsidP="006100D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233A4" w:rsidRPr="006A2C06" w:rsidRDefault="003233A4" w:rsidP="006100D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233A4" w:rsidRPr="008C0637" w:rsidRDefault="003233A4" w:rsidP="006100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впервые</w:t>
            </w:r>
          </w:p>
        </w:tc>
      </w:tr>
      <w:tr w:rsidR="00273292" w:rsidRPr="00142FB8" w:rsidTr="00DD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273292" w:rsidRDefault="0027329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134" w:type="dxa"/>
            <w:vAlign w:val="center"/>
          </w:tcPr>
          <w:p w:rsidR="00273292" w:rsidRPr="00273292" w:rsidRDefault="00273292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32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273292" w:rsidRPr="00273292" w:rsidRDefault="00273292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32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984" w:type="dxa"/>
            <w:vAlign w:val="center"/>
          </w:tcPr>
          <w:p w:rsidR="00273292" w:rsidRPr="00273292" w:rsidRDefault="00273292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32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2732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2732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им. Быкова, д. 7, пом.</w:t>
            </w:r>
            <w:r w:rsidRPr="0027329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I</w:t>
            </w:r>
            <w:r w:rsidRPr="002732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273292" w:rsidRPr="00CA0B71" w:rsidRDefault="00273292" w:rsidP="00CA0B7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0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273292" w:rsidRPr="00CA0B71" w:rsidRDefault="00273292" w:rsidP="00CA0B7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0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</w:p>
          <w:p w:rsidR="00273292" w:rsidRPr="00CA0B71" w:rsidRDefault="00273292" w:rsidP="00CA0B7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0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</w:t>
            </w:r>
            <w:proofErr w:type="gramStart"/>
            <w:r w:rsidRPr="00CA0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–б</w:t>
            </w:r>
            <w:proofErr w:type="gramEnd"/>
            <w:r w:rsidRPr="00CA0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</w:p>
          <w:p w:rsidR="00273292" w:rsidRPr="00CA0B71" w:rsidRDefault="00273292" w:rsidP="00CA0B7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0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окрашены, обои. Потолок – побелен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A0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273292" w:rsidRPr="00CA0B71" w:rsidRDefault="00273292" w:rsidP="00CA0B7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0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A0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имеются.</w:t>
            </w:r>
          </w:p>
          <w:p w:rsidR="00273292" w:rsidRDefault="00273292" w:rsidP="00CA0B7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0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8" w:type="dxa"/>
          </w:tcPr>
          <w:p w:rsidR="00273292" w:rsidRDefault="00273292" w:rsidP="00273292">
            <w:pPr>
              <w:pStyle w:val="a8"/>
              <w:ind w:left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73292" w:rsidRPr="00273292" w:rsidRDefault="00273292" w:rsidP="00273292">
            <w:pPr>
              <w:pStyle w:val="a8"/>
              <w:ind w:left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32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Недвижимое имущество обременено ипотекой в пользу АО «БМ-Банк»;</w:t>
            </w:r>
          </w:p>
          <w:p w:rsidR="00273292" w:rsidRDefault="00273292" w:rsidP="00273292">
            <w:pPr>
              <w:pStyle w:val="a8"/>
              <w:ind w:left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32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Заключен договор аренды № 1/3251-21 с ООО «ТЭК-1», срок действия с 23.11.2021 по 22.12.2021</w:t>
            </w:r>
          </w:p>
        </w:tc>
        <w:tc>
          <w:tcPr>
            <w:tcW w:w="1418" w:type="dxa"/>
          </w:tcPr>
          <w:p w:rsidR="00273292" w:rsidRDefault="00273292" w:rsidP="00447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73292" w:rsidRDefault="00273292" w:rsidP="00447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73292" w:rsidRDefault="00273292" w:rsidP="00447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73292" w:rsidRDefault="00273292" w:rsidP="00447771">
            <w:pPr>
              <w:jc w:val="center"/>
            </w:pPr>
            <w:r w:rsidRPr="00ED4D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273292" w:rsidRPr="00273292" w:rsidRDefault="00273292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32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111,8</w:t>
            </w:r>
          </w:p>
        </w:tc>
        <w:tc>
          <w:tcPr>
            <w:tcW w:w="1559" w:type="dxa"/>
            <w:vAlign w:val="center"/>
          </w:tcPr>
          <w:p w:rsidR="00273292" w:rsidRPr="00273292" w:rsidRDefault="00273292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32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34-34-01/228/2010-172</w:t>
            </w:r>
          </w:p>
          <w:p w:rsidR="00273292" w:rsidRPr="00273292" w:rsidRDefault="00273292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32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17.11.2010</w:t>
            </w:r>
          </w:p>
        </w:tc>
        <w:tc>
          <w:tcPr>
            <w:tcW w:w="1276" w:type="dxa"/>
            <w:vAlign w:val="center"/>
          </w:tcPr>
          <w:p w:rsidR="00273292" w:rsidRPr="00273292" w:rsidRDefault="00273292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32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3226/21</w:t>
            </w:r>
          </w:p>
          <w:p w:rsidR="00273292" w:rsidRPr="00273292" w:rsidRDefault="00273292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32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19.07.2021</w:t>
            </w:r>
          </w:p>
        </w:tc>
        <w:tc>
          <w:tcPr>
            <w:tcW w:w="1275" w:type="dxa"/>
            <w:vAlign w:val="center"/>
          </w:tcPr>
          <w:p w:rsidR="00273292" w:rsidRPr="00273292" w:rsidRDefault="00273292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32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15 558,83</w:t>
            </w:r>
          </w:p>
        </w:tc>
        <w:tc>
          <w:tcPr>
            <w:tcW w:w="1134" w:type="dxa"/>
          </w:tcPr>
          <w:p w:rsidR="00273292" w:rsidRDefault="00273292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3292" w:rsidRDefault="00273292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3292" w:rsidRPr="00273292" w:rsidRDefault="00273292" w:rsidP="00355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73292" w:rsidRPr="00273292" w:rsidRDefault="00273292" w:rsidP="00355E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3292" w:rsidRPr="00C01BB4" w:rsidRDefault="00273292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32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15 558,83</w:t>
            </w:r>
          </w:p>
        </w:tc>
        <w:tc>
          <w:tcPr>
            <w:tcW w:w="850" w:type="dxa"/>
            <w:vAlign w:val="center"/>
          </w:tcPr>
          <w:p w:rsidR="00273292" w:rsidRPr="00142FB8" w:rsidRDefault="00273292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месяцев</w:t>
            </w:r>
          </w:p>
        </w:tc>
        <w:tc>
          <w:tcPr>
            <w:tcW w:w="851" w:type="dxa"/>
          </w:tcPr>
          <w:p w:rsidR="00273292" w:rsidRPr="00155AAB" w:rsidRDefault="00273292" w:rsidP="006100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3292" w:rsidRDefault="00273292" w:rsidP="006100D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3292" w:rsidRDefault="00273292" w:rsidP="006100D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3292" w:rsidRPr="006A2C06" w:rsidRDefault="00273292" w:rsidP="006100D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3292" w:rsidRPr="008C0637" w:rsidRDefault="00273292" w:rsidP="006100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52511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807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592BF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29.11</w:t>
      </w:r>
      <w:r w:rsidR="00D47215" w:rsidRPr="00371407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D55146" w:rsidRPr="00D55146">
        <w:rPr>
          <w:rFonts w:ascii="Times New Roman" w:hAnsi="Times New Roman" w:cs="Times New Roman"/>
          <w:b/>
          <w:sz w:val="28"/>
          <w:szCs w:val="28"/>
          <w:u w:val="single"/>
        </w:rPr>
        <w:t>4547р от  29.10</w:t>
      </w:r>
      <w:r w:rsidR="00D47215" w:rsidRPr="00D55146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146" w:rsidRPr="009059C3" w:rsidRDefault="00D55146" w:rsidP="00D55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D55146" w:rsidRPr="009059C3" w:rsidRDefault="00D55146" w:rsidP="00D55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146" w:rsidRPr="009059C3" w:rsidRDefault="00D55146" w:rsidP="00D55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146" w:rsidRPr="009059C3" w:rsidRDefault="00D55146" w:rsidP="00D55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 4713р от  15</w:t>
      </w:r>
      <w:r w:rsidRPr="00D55146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D55146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D55146" w:rsidRDefault="00D55146" w:rsidP="00D55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146" w:rsidRDefault="00D55146" w:rsidP="00D55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146" w:rsidRPr="009059C3" w:rsidRDefault="00D55146" w:rsidP="00D55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11</w:t>
      </w:r>
    </w:p>
    <w:p w:rsidR="00D55146" w:rsidRPr="009059C3" w:rsidRDefault="00D55146" w:rsidP="00D55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146" w:rsidRPr="009059C3" w:rsidRDefault="00D55146" w:rsidP="00D55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146" w:rsidRPr="009059C3" w:rsidRDefault="00D55146" w:rsidP="00D55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 4854</w:t>
      </w:r>
      <w:r w:rsidRPr="00D55146">
        <w:rPr>
          <w:rFonts w:ascii="Times New Roman" w:hAnsi="Times New Roman" w:cs="Times New Roman"/>
          <w:b/>
          <w:sz w:val="28"/>
          <w:szCs w:val="28"/>
          <w:u w:val="single"/>
        </w:rPr>
        <w:t>р от  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D55146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D55146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D55146" w:rsidRDefault="00D55146" w:rsidP="00D55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146" w:rsidRDefault="00D55146" w:rsidP="00D55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146" w:rsidRPr="009059C3" w:rsidRDefault="00D55146" w:rsidP="00D55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12</w:t>
      </w:r>
    </w:p>
    <w:p w:rsidR="00D55146" w:rsidRPr="009059C3" w:rsidRDefault="00D55146" w:rsidP="00D55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146" w:rsidRPr="009059C3" w:rsidRDefault="00D55146" w:rsidP="00D55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146" w:rsidRPr="009059C3" w:rsidRDefault="00D55146" w:rsidP="00D55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 4892</w:t>
      </w:r>
      <w:r w:rsidRPr="00D55146">
        <w:rPr>
          <w:rFonts w:ascii="Times New Roman" w:hAnsi="Times New Roman" w:cs="Times New Roman"/>
          <w:b/>
          <w:sz w:val="28"/>
          <w:szCs w:val="28"/>
          <w:u w:val="single"/>
        </w:rPr>
        <w:t>р от  29.1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D55146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D55146" w:rsidRDefault="00D55146" w:rsidP="00D55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146" w:rsidRDefault="00D55146" w:rsidP="00D55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146" w:rsidRPr="009059C3" w:rsidRDefault="00D55146" w:rsidP="00D55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19C5">
        <w:rPr>
          <w:rFonts w:ascii="Times New Roman" w:hAnsi="Times New Roman" w:cs="Times New Roman"/>
          <w:sz w:val="28"/>
          <w:szCs w:val="28"/>
        </w:rPr>
        <w:t>13</w:t>
      </w:r>
    </w:p>
    <w:p w:rsidR="00D55146" w:rsidRPr="009059C3" w:rsidRDefault="00D55146" w:rsidP="00D55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146" w:rsidRPr="009059C3" w:rsidRDefault="00D55146" w:rsidP="00D55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146" w:rsidRPr="009059C3" w:rsidRDefault="00D55146" w:rsidP="00D55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732EA2" w:rsidRPr="00732EA2">
        <w:rPr>
          <w:rFonts w:ascii="Times New Roman" w:hAnsi="Times New Roman" w:cs="Times New Roman"/>
          <w:b/>
          <w:sz w:val="28"/>
          <w:szCs w:val="28"/>
          <w:u w:val="single"/>
        </w:rPr>
        <w:t>№ 4907</w:t>
      </w:r>
      <w:r w:rsidRPr="00732EA2">
        <w:rPr>
          <w:rFonts w:ascii="Times New Roman" w:hAnsi="Times New Roman" w:cs="Times New Roman"/>
          <w:b/>
          <w:sz w:val="28"/>
          <w:szCs w:val="28"/>
          <w:u w:val="single"/>
        </w:rPr>
        <w:t>р от  29.11.2021</w:t>
      </w:r>
      <w:bookmarkStart w:id="2" w:name="_GoBack"/>
      <w:bookmarkEnd w:id="2"/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D55146" w:rsidRDefault="00D55146" w:rsidP="00D55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146" w:rsidRDefault="00D55146" w:rsidP="00D55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Pr="009059C3" w:rsidRDefault="00444A8B" w:rsidP="00444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Pr="009059C3" w:rsidRDefault="00444A8B" w:rsidP="00444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Pr="009059C3" w:rsidRDefault="00444A8B" w:rsidP="00444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44A8B" w:rsidRPr="009059C3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463" w:rsidRDefault="00630463" w:rsidP="001B5BA2">
      <w:pPr>
        <w:spacing w:after="0" w:line="240" w:lineRule="auto"/>
      </w:pPr>
      <w:r>
        <w:separator/>
      </w:r>
    </w:p>
  </w:endnote>
  <w:endnote w:type="continuationSeparator" w:id="0">
    <w:p w:rsidR="00630463" w:rsidRDefault="00630463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463" w:rsidRDefault="00630463" w:rsidP="001B5BA2">
      <w:pPr>
        <w:spacing w:after="0" w:line="240" w:lineRule="auto"/>
      </w:pPr>
      <w:r>
        <w:separator/>
      </w:r>
    </w:p>
  </w:footnote>
  <w:footnote w:type="continuationSeparator" w:id="0">
    <w:p w:rsidR="00630463" w:rsidRDefault="00630463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630463" w:rsidRDefault="0063046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EA2">
          <w:rPr>
            <w:noProof/>
          </w:rPr>
          <w:t>27</w:t>
        </w:r>
        <w:r>
          <w:fldChar w:fldCharType="end"/>
        </w:r>
      </w:p>
    </w:sdtContent>
  </w:sdt>
  <w:p w:rsidR="00630463" w:rsidRDefault="0063046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463" w:rsidRDefault="00630463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81BE3">
          <w:rPr>
            <w:noProof/>
          </w:rPr>
          <w:t>1</w:t>
        </w:r>
        <w:r>
          <w:fldChar w:fldCharType="end"/>
        </w:r>
      </w:sdtContent>
    </w:sdt>
    <w:r>
      <w:tab/>
    </w:r>
  </w:p>
  <w:p w:rsidR="00630463" w:rsidRDefault="0063046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5CD7"/>
    <w:rsid w:val="00057AA6"/>
    <w:rsid w:val="000659AC"/>
    <w:rsid w:val="00072100"/>
    <w:rsid w:val="00081BE3"/>
    <w:rsid w:val="00092E92"/>
    <w:rsid w:val="000A04AD"/>
    <w:rsid w:val="000B3182"/>
    <w:rsid w:val="000D14D5"/>
    <w:rsid w:val="000D37EA"/>
    <w:rsid w:val="00110721"/>
    <w:rsid w:val="00142D6D"/>
    <w:rsid w:val="00142FB8"/>
    <w:rsid w:val="00146457"/>
    <w:rsid w:val="00150A1C"/>
    <w:rsid w:val="001554EE"/>
    <w:rsid w:val="00155AAB"/>
    <w:rsid w:val="001561A2"/>
    <w:rsid w:val="001744E3"/>
    <w:rsid w:val="0017469E"/>
    <w:rsid w:val="001A0225"/>
    <w:rsid w:val="001B1B20"/>
    <w:rsid w:val="001B5BA2"/>
    <w:rsid w:val="001D46FF"/>
    <w:rsid w:val="001F165C"/>
    <w:rsid w:val="001F252E"/>
    <w:rsid w:val="002019C5"/>
    <w:rsid w:val="00204B96"/>
    <w:rsid w:val="00212A89"/>
    <w:rsid w:val="00224102"/>
    <w:rsid w:val="00231567"/>
    <w:rsid w:val="00260F15"/>
    <w:rsid w:val="00267A01"/>
    <w:rsid w:val="00273292"/>
    <w:rsid w:val="002760F4"/>
    <w:rsid w:val="00283906"/>
    <w:rsid w:val="002A2056"/>
    <w:rsid w:val="002A5DE9"/>
    <w:rsid w:val="002B402F"/>
    <w:rsid w:val="002D3D88"/>
    <w:rsid w:val="00303E3B"/>
    <w:rsid w:val="00306142"/>
    <w:rsid w:val="003233A4"/>
    <w:rsid w:val="003257CC"/>
    <w:rsid w:val="00340499"/>
    <w:rsid w:val="00345F72"/>
    <w:rsid w:val="00350C8D"/>
    <w:rsid w:val="00353707"/>
    <w:rsid w:val="00355E4A"/>
    <w:rsid w:val="003607F6"/>
    <w:rsid w:val="00371407"/>
    <w:rsid w:val="00371A99"/>
    <w:rsid w:val="003B1232"/>
    <w:rsid w:val="003B2C57"/>
    <w:rsid w:val="003B3144"/>
    <w:rsid w:val="003C2FC6"/>
    <w:rsid w:val="003D1FBC"/>
    <w:rsid w:val="003E06C6"/>
    <w:rsid w:val="003E2305"/>
    <w:rsid w:val="00405665"/>
    <w:rsid w:val="00412F29"/>
    <w:rsid w:val="0043141E"/>
    <w:rsid w:val="00442EDB"/>
    <w:rsid w:val="00442F7E"/>
    <w:rsid w:val="00444A8B"/>
    <w:rsid w:val="00447771"/>
    <w:rsid w:val="00447FCD"/>
    <w:rsid w:val="00457578"/>
    <w:rsid w:val="00462E82"/>
    <w:rsid w:val="00463F48"/>
    <w:rsid w:val="0048524E"/>
    <w:rsid w:val="00485D65"/>
    <w:rsid w:val="00486166"/>
    <w:rsid w:val="00493E34"/>
    <w:rsid w:val="004A54EF"/>
    <w:rsid w:val="004B5DBF"/>
    <w:rsid w:val="004C0A74"/>
    <w:rsid w:val="004C64CF"/>
    <w:rsid w:val="004D6838"/>
    <w:rsid w:val="00506C2E"/>
    <w:rsid w:val="005234EB"/>
    <w:rsid w:val="00525113"/>
    <w:rsid w:val="00550516"/>
    <w:rsid w:val="00552C5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131F0"/>
    <w:rsid w:val="00617CCC"/>
    <w:rsid w:val="006213C3"/>
    <w:rsid w:val="00624A97"/>
    <w:rsid w:val="00630463"/>
    <w:rsid w:val="00632B10"/>
    <w:rsid w:val="00691369"/>
    <w:rsid w:val="006A2C06"/>
    <w:rsid w:val="006B2FC9"/>
    <w:rsid w:val="006B66F7"/>
    <w:rsid w:val="006B6F4C"/>
    <w:rsid w:val="00732EA2"/>
    <w:rsid w:val="00750EDE"/>
    <w:rsid w:val="00781DF5"/>
    <w:rsid w:val="007A52BD"/>
    <w:rsid w:val="007A5504"/>
    <w:rsid w:val="007A6B9A"/>
    <w:rsid w:val="007C530A"/>
    <w:rsid w:val="007C7800"/>
    <w:rsid w:val="007D22AE"/>
    <w:rsid w:val="007D5BA6"/>
    <w:rsid w:val="007D6320"/>
    <w:rsid w:val="007E5BC3"/>
    <w:rsid w:val="007F5F00"/>
    <w:rsid w:val="00824950"/>
    <w:rsid w:val="00834A42"/>
    <w:rsid w:val="00834D44"/>
    <w:rsid w:val="0084351B"/>
    <w:rsid w:val="008551F6"/>
    <w:rsid w:val="00855B49"/>
    <w:rsid w:val="00873814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726A"/>
    <w:rsid w:val="008D3E34"/>
    <w:rsid w:val="008E12A8"/>
    <w:rsid w:val="008F724B"/>
    <w:rsid w:val="009059C3"/>
    <w:rsid w:val="00927CAD"/>
    <w:rsid w:val="00927F99"/>
    <w:rsid w:val="00940F92"/>
    <w:rsid w:val="0094611D"/>
    <w:rsid w:val="00971576"/>
    <w:rsid w:val="00987EA9"/>
    <w:rsid w:val="009A429D"/>
    <w:rsid w:val="009A5C1B"/>
    <w:rsid w:val="009B0B34"/>
    <w:rsid w:val="009B31BE"/>
    <w:rsid w:val="009C4B4F"/>
    <w:rsid w:val="009D1CF2"/>
    <w:rsid w:val="009F7C04"/>
    <w:rsid w:val="00A004DB"/>
    <w:rsid w:val="00A066B1"/>
    <w:rsid w:val="00A12FDF"/>
    <w:rsid w:val="00A37077"/>
    <w:rsid w:val="00A53FCC"/>
    <w:rsid w:val="00A8458E"/>
    <w:rsid w:val="00AA3F9D"/>
    <w:rsid w:val="00AA764E"/>
    <w:rsid w:val="00AB21DC"/>
    <w:rsid w:val="00AB593B"/>
    <w:rsid w:val="00AC0107"/>
    <w:rsid w:val="00AD1D83"/>
    <w:rsid w:val="00AD7A23"/>
    <w:rsid w:val="00AE30F9"/>
    <w:rsid w:val="00AF623C"/>
    <w:rsid w:val="00B21088"/>
    <w:rsid w:val="00B576BE"/>
    <w:rsid w:val="00B66D5C"/>
    <w:rsid w:val="00B96848"/>
    <w:rsid w:val="00BB5E09"/>
    <w:rsid w:val="00BC509D"/>
    <w:rsid w:val="00BF283E"/>
    <w:rsid w:val="00C01BB4"/>
    <w:rsid w:val="00C36E82"/>
    <w:rsid w:val="00C41B00"/>
    <w:rsid w:val="00C43758"/>
    <w:rsid w:val="00C5528B"/>
    <w:rsid w:val="00C930E6"/>
    <w:rsid w:val="00C9683A"/>
    <w:rsid w:val="00CA0B71"/>
    <w:rsid w:val="00CA3D5B"/>
    <w:rsid w:val="00CB04C9"/>
    <w:rsid w:val="00CB7128"/>
    <w:rsid w:val="00CC5F9E"/>
    <w:rsid w:val="00CD0274"/>
    <w:rsid w:val="00CD44B0"/>
    <w:rsid w:val="00CE6F80"/>
    <w:rsid w:val="00CE7098"/>
    <w:rsid w:val="00CE7ACD"/>
    <w:rsid w:val="00CF7F76"/>
    <w:rsid w:val="00D003A0"/>
    <w:rsid w:val="00D267C4"/>
    <w:rsid w:val="00D47215"/>
    <w:rsid w:val="00D5030A"/>
    <w:rsid w:val="00D53D4C"/>
    <w:rsid w:val="00D55146"/>
    <w:rsid w:val="00D6129E"/>
    <w:rsid w:val="00D73769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5AEF"/>
    <w:rsid w:val="00E174D8"/>
    <w:rsid w:val="00E201CA"/>
    <w:rsid w:val="00E56087"/>
    <w:rsid w:val="00E573E2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om_im@volgadmin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torgi.gov.ru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20F18F-4344-4999-B74A-119281218A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25EE66-6289-4BDA-B6D5-BF2827106E9F}"/>
</file>

<file path=customXml/itemProps3.xml><?xml version="1.0" encoding="utf-8"?>
<ds:datastoreItem xmlns:ds="http://schemas.openxmlformats.org/officeDocument/2006/customXml" ds:itemID="{7A0F0C14-C2B3-4865-B51E-3789ABD9A025}"/>
</file>

<file path=customXml/itemProps4.xml><?xml version="1.0" encoding="utf-8"?>
<ds:datastoreItem xmlns:ds="http://schemas.openxmlformats.org/officeDocument/2006/customXml" ds:itemID="{A2F69286-1A5B-43F3-87AE-09F2435416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27</Pages>
  <Words>8619</Words>
  <Characters>49133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23</cp:revision>
  <cp:lastPrinted>2021-11-29T13:21:00Z</cp:lastPrinted>
  <dcterms:created xsi:type="dcterms:W3CDTF">2021-11-26T09:23:00Z</dcterms:created>
  <dcterms:modified xsi:type="dcterms:W3CDTF">2021-11-29T14:13:00Z</dcterms:modified>
</cp:coreProperties>
</file>