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DB4CC3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 xml:space="preserve">ПРОГРАММЫ МИКРОФИНАНСИРОВАНИЯ (редакция от 05.02.2021) </w:t>
      </w: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1865"/>
        <w:gridCol w:w="1220"/>
        <w:gridCol w:w="1134"/>
        <w:gridCol w:w="4253"/>
        <w:gridCol w:w="1162"/>
        <w:gridCol w:w="1134"/>
        <w:gridCol w:w="822"/>
        <w:gridCol w:w="1701"/>
        <w:gridCol w:w="2013"/>
      </w:tblGrid>
      <w:tr w:rsidR="00DB4CC3" w:rsidRPr="00DB4CC3" w:rsidTr="007B7EE1">
        <w:trPr>
          <w:trHeight w:val="538"/>
        </w:trPr>
        <w:tc>
          <w:tcPr>
            <w:tcW w:w="1865" w:type="dxa"/>
            <w:vMerge w:val="restart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sz w:val="26"/>
                <w:szCs w:val="26"/>
              </w:rPr>
              <w:t>Виды займов</w:t>
            </w:r>
          </w:p>
        </w:tc>
        <w:tc>
          <w:tcPr>
            <w:tcW w:w="1220" w:type="dxa"/>
            <w:vMerge w:val="restart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sz w:val="26"/>
                <w:szCs w:val="26"/>
              </w:rPr>
              <w:t>Размер займа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B4CC3">
              <w:rPr>
                <w:rFonts w:ascii="Times New Roman" w:hAnsi="Times New Roman"/>
                <w:i/>
                <w:sz w:val="26"/>
                <w:szCs w:val="26"/>
              </w:rPr>
              <w:t>руб</w:t>
            </w:r>
            <w:proofErr w:type="spellEnd"/>
            <w:r w:rsidRPr="00DB4CC3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Срок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4CC3">
              <w:rPr>
                <w:rFonts w:ascii="Times New Roman" w:hAnsi="Times New Roman"/>
                <w:i/>
                <w:kern w:val="32"/>
                <w:sz w:val="20"/>
                <w:szCs w:val="20"/>
              </w:rPr>
              <w:t>(месяцев ев</w:t>
            </w:r>
            <w:proofErr w:type="gramEnd"/>
          </w:p>
        </w:tc>
        <w:tc>
          <w:tcPr>
            <w:tcW w:w="4253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Обеспечение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Процентная ставка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4CC3">
              <w:rPr>
                <w:rFonts w:ascii="Times New Roman" w:hAnsi="Times New Roman"/>
                <w:i/>
                <w:kern w:val="32"/>
                <w:sz w:val="20"/>
                <w:szCs w:val="20"/>
              </w:rPr>
              <w:t>(% годовых)</w:t>
            </w:r>
          </w:p>
        </w:tc>
        <w:tc>
          <w:tcPr>
            <w:tcW w:w="1701" w:type="dxa"/>
            <w:vMerge w:val="restart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Цель</w:t>
            </w:r>
          </w:p>
        </w:tc>
        <w:tc>
          <w:tcPr>
            <w:tcW w:w="2013" w:type="dxa"/>
            <w:vMerge w:val="restart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Специальные условия</w:t>
            </w:r>
          </w:p>
        </w:tc>
      </w:tr>
      <w:tr w:rsidR="00DB4CC3" w:rsidRPr="00DB4CC3" w:rsidTr="007B7EE1">
        <w:tc>
          <w:tcPr>
            <w:tcW w:w="1865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1) субъекты МСП моногородов при реализации приоритетных проектов</w:t>
            </w:r>
          </w:p>
        </w:tc>
        <w:tc>
          <w:tcPr>
            <w:tcW w:w="1134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2) субъекты МСП реализующие приоритетные проекты</w:t>
            </w:r>
          </w:p>
        </w:tc>
        <w:tc>
          <w:tcPr>
            <w:tcW w:w="82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Субъекты МСП, не указанные в пунктах               1 и 2</w:t>
            </w:r>
          </w:p>
        </w:tc>
        <w:tc>
          <w:tcPr>
            <w:tcW w:w="1701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3" w:rsidRPr="00DB4CC3" w:rsidTr="00DB4CC3">
        <w:trPr>
          <w:trHeight w:val="1583"/>
        </w:trPr>
        <w:tc>
          <w:tcPr>
            <w:tcW w:w="1865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«Старт»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Поддержка субъектов МСП, зарегистрированных и (или) состоящих на налоговом учете на территории Волгоградской области не менее 1 (одного) месяца и не более 12 месяцев.</w:t>
            </w:r>
          </w:p>
        </w:tc>
        <w:tc>
          <w:tcPr>
            <w:tcW w:w="1220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от 100 000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до 500 000</w:t>
            </w:r>
          </w:p>
        </w:tc>
        <w:tc>
          <w:tcPr>
            <w:tcW w:w="1134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kern w:val="24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kern w:val="24"/>
                <w:sz w:val="16"/>
                <w:szCs w:val="16"/>
              </w:rPr>
              <w:t>до 24 мес.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отсрочка основного долга – до 6 месяцев</w:t>
            </w:r>
          </w:p>
        </w:tc>
        <w:tc>
          <w:tcPr>
            <w:tcW w:w="4253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Без залога</w:t>
            </w:r>
          </w:p>
          <w:p w:rsidR="00DB4CC3" w:rsidRPr="00DB4CC3" w:rsidRDefault="00DB4CC3" w:rsidP="00DB4CC3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Под поручительство</w:t>
            </w:r>
            <w:r w:rsidRPr="00DB4CC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: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для ИП – поручительство супруг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>и) при наличии,  в ином случае - третьего лица;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для ЮЛ – поручительство всех учредителей или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бенефициарных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владельцев;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для АО – участников, владеющих в совокупности долями в размере более 50% уставного капитала</w:t>
            </w:r>
          </w:p>
        </w:tc>
        <w:tc>
          <w:tcPr>
            <w:tcW w:w="1162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ставка*1,5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7,5%</w:t>
            </w:r>
          </w:p>
        </w:tc>
        <w:tc>
          <w:tcPr>
            <w:tcW w:w="1701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Приобретение,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модернизация основных средств,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</w:pPr>
            <w:r w:rsidRPr="00DB4CC3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досрочный выкуп имущества по договорам лизинга,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пополнение оборотных средств</w:t>
            </w:r>
          </w:p>
          <w:p w:rsidR="00DB4CC3" w:rsidRPr="00DB4CC3" w:rsidRDefault="00DB4CC3" w:rsidP="00DB4C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Наличие «Бизнес-плана» и подтверждение факта собственного финансового участия в размере не менее 30% от полной стоимости проекта 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наличие у Заявителя на протяжении 3(трех) и более месяцев выручки, превышающей среднемесячный платеж по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микрозайму</w:t>
            </w:r>
            <w:proofErr w:type="spellEnd"/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CC3" w:rsidRPr="00DB4CC3" w:rsidTr="00DB4CC3">
        <w:trPr>
          <w:trHeight w:val="3109"/>
        </w:trPr>
        <w:tc>
          <w:tcPr>
            <w:tcW w:w="1865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от 500 001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до 3 000 000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DB4CC3" w:rsidRPr="00DB4CC3" w:rsidRDefault="00DB4CC3" w:rsidP="00DB4CC3">
            <w:pPr>
              <w:shd w:val="clear" w:color="auto" w:fill="FFFFFF"/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Допускается предоставление одного или нескольких из нижеперечисленных видов обеспечения. При этом совокупный размер обеспечения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 xml:space="preserve">должен составлять не менее 100% от суммы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микрозайма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</w:p>
          <w:p w:rsidR="00DB4CC3" w:rsidRPr="00DB4CC3" w:rsidRDefault="00DB4CC3" w:rsidP="00DB4CC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28" w:hanging="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залог 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движимого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и/или недвижимого имущества;</w:t>
            </w:r>
          </w:p>
          <w:p w:rsidR="00DB4CC3" w:rsidRPr="00DB4CC3" w:rsidRDefault="00DB4CC3" w:rsidP="00DB4CC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28" w:hanging="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поручительство физического лица с подтверждением платежеспособности за период не менее 6 месяцев, с предоставлением справок: по форме 2НДФЛ или по форме КНД1122036 (для 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>амозанятого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B4CC3" w:rsidRPr="00DB4CC3" w:rsidRDefault="00DB4CC3" w:rsidP="00DB4CC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28" w:hanging="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поручительство Ассоциации (некоммерческого партнерства) "Гарантийный фонд Волгоградской области" в размере не более 50% от суммы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микрозайма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B4CC3" w:rsidRPr="00DB4CC3" w:rsidRDefault="00DB4CC3" w:rsidP="00DB4CC3">
            <w:pPr>
              <w:shd w:val="clear" w:color="auto" w:fill="FFFFFF"/>
              <w:tabs>
                <w:tab w:val="left" w:pos="-142"/>
              </w:tabs>
              <w:ind w:hanging="3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Дополнительно может быть предоставлено поручительство связанной компании по учредителю Заявителя (при наличии).</w:t>
            </w:r>
          </w:p>
        </w:tc>
        <w:tc>
          <w:tcPr>
            <w:tcW w:w="116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½ 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>ключевой ставки</w:t>
            </w:r>
          </w:p>
        </w:tc>
        <w:tc>
          <w:tcPr>
            <w:tcW w:w="1134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</w:t>
            </w:r>
          </w:p>
        </w:tc>
        <w:tc>
          <w:tcPr>
            <w:tcW w:w="82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6,5%</w:t>
            </w:r>
          </w:p>
        </w:tc>
        <w:tc>
          <w:tcPr>
            <w:tcW w:w="1701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CC3" w:rsidRPr="00DB4CC3" w:rsidTr="007B7EE1">
        <w:tc>
          <w:tcPr>
            <w:tcW w:w="1865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«Развитие»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Поддержка субъектов МСП, зарегистрированных и (или) состоящих на налоговом учете на территории Волгоградской области не менее 6 (шести) 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от 100 000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до 500 000</w:t>
            </w:r>
          </w:p>
        </w:tc>
        <w:tc>
          <w:tcPr>
            <w:tcW w:w="1134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до 18 мес. –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на пополнение оборотных средств;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до 24 мес. –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 xml:space="preserve">на </w:t>
            </w:r>
            <w:proofErr w:type="spellStart"/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внеоборот-ные</w:t>
            </w:r>
            <w:proofErr w:type="spellEnd"/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 xml:space="preserve"> активы</w:t>
            </w:r>
          </w:p>
          <w:p w:rsidR="00DB4CC3" w:rsidRPr="00DB4CC3" w:rsidRDefault="00DB4CC3" w:rsidP="00DB4CC3">
            <w:pPr>
              <w:spacing w:line="216" w:lineRule="auto"/>
              <w:ind w:left="720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ind w:left="-108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24"/>
                <w:sz w:val="16"/>
                <w:szCs w:val="16"/>
              </w:rPr>
              <w:t>отсрочка основного долга – до 3 месяцев</w:t>
            </w:r>
          </w:p>
        </w:tc>
        <w:tc>
          <w:tcPr>
            <w:tcW w:w="4253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Без залога</w:t>
            </w:r>
          </w:p>
          <w:p w:rsidR="00DB4CC3" w:rsidRPr="00DB4CC3" w:rsidRDefault="00DB4CC3" w:rsidP="00DB4CC3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Под поручительство: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для ИП – поручительство супруг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>и) при наличии,  в ином случае - третьего лица;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для ЮЛ – поручительство всех учредителей или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бенефициарных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владельцев;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для АО – участников, владеющих в совокупности долями в размере более 50% уставного капитала</w:t>
            </w:r>
          </w:p>
        </w:tc>
        <w:tc>
          <w:tcPr>
            <w:tcW w:w="1162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ставка*1,5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8,5%</w:t>
            </w:r>
          </w:p>
        </w:tc>
        <w:tc>
          <w:tcPr>
            <w:tcW w:w="1701" w:type="dxa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приобретение, модернизация основных средств,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пополнение оборотных средств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</w:pP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color w:val="111111"/>
                <w:sz w:val="16"/>
                <w:szCs w:val="16"/>
                <w:shd w:val="clear" w:color="auto" w:fill="FFFFFF"/>
              </w:rPr>
              <w:t>рефинансирование кредитов/займов</w:t>
            </w:r>
          </w:p>
        </w:tc>
        <w:tc>
          <w:tcPr>
            <w:tcW w:w="2013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CC3" w:rsidRPr="00DB4CC3" w:rsidTr="00DB4CC3">
        <w:trPr>
          <w:trHeight w:val="564"/>
        </w:trPr>
        <w:tc>
          <w:tcPr>
            <w:tcW w:w="1865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от 500 001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до 3 000 000</w:t>
            </w:r>
          </w:p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DB4CC3" w:rsidRPr="00DB4CC3" w:rsidRDefault="00DB4CC3" w:rsidP="00DB4CC3">
            <w:pPr>
              <w:shd w:val="clear" w:color="auto" w:fill="FFFFFF"/>
              <w:tabs>
                <w:tab w:val="left" w:pos="851"/>
              </w:tabs>
              <w:spacing w:line="200" w:lineRule="exact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Допускается предоставление одного или нескольких из нижеперечисленных видов обеспечения. При этом совокупный размер обеспечения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 xml:space="preserve">должен составлять не менее 100% от суммы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микрозайма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</w:p>
          <w:p w:rsidR="00DB4CC3" w:rsidRPr="00DB4CC3" w:rsidRDefault="00DB4CC3" w:rsidP="00DB4CC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28" w:hanging="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залог 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движимого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и/или недвижимого залог движимого и/или недвижимого имущества;</w:t>
            </w:r>
          </w:p>
          <w:p w:rsidR="00DB4CC3" w:rsidRPr="00DB4CC3" w:rsidRDefault="00DB4CC3" w:rsidP="00DB4CC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ind w:left="28" w:hanging="2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поручительство Ассоциации (некоммерческого партнерства) "Гарантийный фонд Волгоградской области" в размере не более 70% от суммы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микрозайма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B4CC3" w:rsidRPr="00DB4CC3" w:rsidRDefault="00DB4CC3" w:rsidP="00DB4CC3">
            <w:pPr>
              <w:spacing w:line="200" w:lineRule="exact"/>
              <w:ind w:hanging="3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  <w:u w:val="single"/>
              </w:rPr>
              <w:t>Дополнительно в обязательном порядке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для ИП – поручительство супруг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а(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>и) при наличии,  в ином случае - третьего лица;</w:t>
            </w:r>
          </w:p>
          <w:p w:rsidR="00DB4CC3" w:rsidRPr="00DB4CC3" w:rsidRDefault="00DB4CC3" w:rsidP="00DB4CC3">
            <w:pPr>
              <w:numPr>
                <w:ilvl w:val="0"/>
                <w:numId w:val="3"/>
              </w:numPr>
              <w:spacing w:line="216" w:lineRule="auto"/>
              <w:ind w:left="34" w:hanging="3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для ЮЛ – поручительство всех учредителей или </w:t>
            </w:r>
            <w:proofErr w:type="spellStart"/>
            <w:r w:rsidRPr="00DB4CC3">
              <w:rPr>
                <w:rFonts w:ascii="Times New Roman" w:hAnsi="Times New Roman"/>
                <w:sz w:val="16"/>
                <w:szCs w:val="16"/>
              </w:rPr>
              <w:t>бенефициарных</w:t>
            </w:r>
            <w:proofErr w:type="spell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владельцев;</w:t>
            </w:r>
          </w:p>
          <w:p w:rsidR="00DB4CC3" w:rsidRPr="00DB4CC3" w:rsidRDefault="00DB4CC3" w:rsidP="00DB4CC3">
            <w:pPr>
              <w:spacing w:line="216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lastRenderedPageBreak/>
              <w:t>Дополнительно может быть предоставлено поручительство связанной компании, по учредителю Заявителя (при наличии).</w:t>
            </w:r>
          </w:p>
        </w:tc>
        <w:tc>
          <w:tcPr>
            <w:tcW w:w="116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lastRenderedPageBreak/>
              <w:t xml:space="preserve">½ 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ключевой ставки </w:t>
            </w:r>
          </w:p>
        </w:tc>
        <w:tc>
          <w:tcPr>
            <w:tcW w:w="1134" w:type="dxa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1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ключевая ставка</w:t>
            </w:r>
          </w:p>
        </w:tc>
        <w:tc>
          <w:tcPr>
            <w:tcW w:w="822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7%</w:t>
            </w:r>
          </w:p>
        </w:tc>
        <w:tc>
          <w:tcPr>
            <w:tcW w:w="1701" w:type="dxa"/>
            <w:vMerge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:rsidR="00DB4CC3" w:rsidRPr="00DB4CC3" w:rsidRDefault="00DB4CC3" w:rsidP="00DB4CC3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16"/>
          <w:szCs w:val="1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Под </w:t>
      </w:r>
      <w:proofErr w:type="gramStart"/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приоритетными</w:t>
      </w:r>
      <w:proofErr w:type="gramEnd"/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 понимаются проекты, которые удовлетворяют одному или нескольким условиям:</w:t>
      </w: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    </w:t>
      </w: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  <w:r w:rsidRPr="00DB4CC3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(Таблица 1)</w:t>
      </w:r>
    </w:p>
    <w:tbl>
      <w:tblPr>
        <w:tblStyle w:val="2"/>
        <w:tblW w:w="5021" w:type="pct"/>
        <w:tblLook w:val="04A0" w:firstRow="1" w:lastRow="0" w:firstColumn="1" w:lastColumn="0" w:noHBand="0" w:noVBand="1"/>
      </w:tblPr>
      <w:tblGrid>
        <w:gridCol w:w="15417"/>
      </w:tblGrid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contextualSpacing/>
              <w:rPr>
                <w:rFonts w:ascii="Times New Roman" w:hAnsi="Times New Roman"/>
                <w:kern w:val="32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 xml:space="preserve">субъект малого и среднего предпринимательства </w:t>
            </w:r>
            <w:proofErr w:type="gramStart"/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>зарегистрирован и осуществляет</w:t>
            </w:r>
            <w:proofErr w:type="gramEnd"/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 xml:space="preserve">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contextualSpacing/>
              <w:rPr>
                <w:rFonts w:ascii="Times New Roman" w:hAnsi="Times New Roman"/>
                <w:kern w:val="32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sz w:val="20"/>
                <w:szCs w:val="20"/>
              </w:rPr>
              <w:t xml:space="preserve">субъект малого и среднего предпринимательства является резидентом промышленного (индустриального) парка, агропромышленного парка, технопарка, промышленного технопарка, </w:t>
            </w:r>
            <w:proofErr w:type="gramStart"/>
            <w:r w:rsidRPr="00DB4CC3">
              <w:rPr>
                <w:rFonts w:ascii="Times New Roman" w:hAnsi="Times New Roman"/>
                <w:sz w:val="20"/>
                <w:szCs w:val="20"/>
              </w:rPr>
              <w:t>бизнес-инкубатора</w:t>
            </w:r>
            <w:proofErr w:type="gramEnd"/>
            <w:r w:rsidRPr="00DB4CC3">
              <w:rPr>
                <w:rFonts w:ascii="Times New Roman" w:hAnsi="Times New Roman"/>
                <w:sz w:val="20"/>
                <w:szCs w:val="20"/>
              </w:rPr>
              <w:t xml:space="preserve"> и включен в реестр резидентов таких организаций, образующих инфраструктуру поддержки субъектов малого и среднего предпринимательства;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kern w:val="32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>субъект малого и среднего предпринимательства осуществляет экспортную деятельность;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>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общества.</w:t>
            </w:r>
            <w:proofErr w:type="gramEnd"/>
          </w:p>
        </w:tc>
      </w:tr>
      <w:tr w:rsidR="00DB4CC3" w:rsidRPr="00DB4CC3" w:rsidTr="00DB4CC3">
        <w:trPr>
          <w:trHeight w:val="701"/>
        </w:trPr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Par0"/>
            <w:bookmarkEnd w:id="0"/>
            <w:r w:rsidRPr="00DB4CC3">
              <w:rPr>
                <w:rFonts w:ascii="Times New Roman" w:hAnsi="Times New Roman"/>
                <w:sz w:val="20"/>
                <w:szCs w:val="20"/>
              </w:rPr>
              <w:t xml:space="preserve">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"О сельскохозяйственной кооперации", </w:t>
            </w:r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>или является главой крестьянского (фермерского</w:t>
            </w:r>
            <w:proofErr w:type="gramStart"/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DB4CC3">
              <w:rPr>
                <w:rFonts w:ascii="Times New Roman" w:hAnsi="Times New Roman"/>
                <w:bCs/>
                <w:sz w:val="20"/>
                <w:szCs w:val="20"/>
              </w:rPr>
              <w:t xml:space="preserve"> хозяйства.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sz w:val="20"/>
                <w:szCs w:val="20"/>
              </w:rPr>
              <w:t>субъект малого и среднего предпринимательства осуществляет деятельность в сфере социального предпринимательства в соответствии с Федеральным законом от 24 июля 2007 г. № 209-ФЗ "О развитии малого и среднего предпринимательства в Российской Федерации".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sz w:val="20"/>
                <w:szCs w:val="20"/>
              </w:rPr>
              <w:t>субъект малого и среднего предпринимательства, осуществляет реализацию проекта в сферах туризма, экологии или спорт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DB4CC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sz w:val="20"/>
                <w:szCs w:val="20"/>
              </w:rPr>
              <w:t xml:space="preserve">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</w:t>
            </w:r>
            <w:proofErr w:type="gramStart"/>
            <w:r w:rsidRPr="00DB4CC3">
              <w:rPr>
                <w:rFonts w:ascii="Times New Roman" w:hAnsi="Times New Roman"/>
                <w:sz w:val="20"/>
                <w:szCs w:val="20"/>
              </w:rPr>
              <w:t xml:space="preserve">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который являются вновь зарегистрированными и действующими менее 1 (одного) года на момент принятия решения о предоставлении </w:t>
            </w:r>
            <w:proofErr w:type="spellStart"/>
            <w:r w:rsidRPr="00DB4CC3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  <w:r w:rsidRPr="00DB4CC3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</w:tr>
    </w:tbl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tbl>
      <w:tblPr>
        <w:tblStyle w:val="3"/>
        <w:tblW w:w="4929" w:type="pct"/>
        <w:tblLayout w:type="fixed"/>
        <w:tblLook w:val="04A0" w:firstRow="1" w:lastRow="0" w:firstColumn="1" w:lastColumn="0" w:noHBand="0" w:noVBand="1"/>
      </w:tblPr>
      <w:tblGrid>
        <w:gridCol w:w="2792"/>
        <w:gridCol w:w="3228"/>
        <w:gridCol w:w="1584"/>
        <w:gridCol w:w="1154"/>
        <w:gridCol w:w="1878"/>
        <w:gridCol w:w="2023"/>
        <w:gridCol w:w="2476"/>
      </w:tblGrid>
      <w:tr w:rsidR="00DB4CC3" w:rsidRPr="00DB4CC3" w:rsidTr="00DB4CC3">
        <w:trPr>
          <w:trHeight w:val="832"/>
        </w:trPr>
        <w:tc>
          <w:tcPr>
            <w:tcW w:w="922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ind w:left="33" w:hanging="33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lastRenderedPageBreak/>
              <w:t>Виды займов</w:t>
            </w:r>
          </w:p>
        </w:tc>
        <w:tc>
          <w:tcPr>
            <w:tcW w:w="1066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Категории заемщиков</w:t>
            </w:r>
          </w:p>
        </w:tc>
        <w:tc>
          <w:tcPr>
            <w:tcW w:w="523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Срок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i/>
                <w:kern w:val="32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i/>
                <w:kern w:val="32"/>
                <w:sz w:val="26"/>
                <w:szCs w:val="26"/>
              </w:rPr>
              <w:t xml:space="preserve"> </w:t>
            </w:r>
            <w:r w:rsidRPr="00DB4CC3">
              <w:rPr>
                <w:rFonts w:ascii="Times New Roman" w:hAnsi="Times New Roman"/>
                <w:i/>
                <w:kern w:val="32"/>
                <w:sz w:val="20"/>
                <w:szCs w:val="20"/>
              </w:rPr>
              <w:t>(месяцев)</w:t>
            </w:r>
          </w:p>
        </w:tc>
        <w:tc>
          <w:tcPr>
            <w:tcW w:w="381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>Размер займа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i/>
                <w:kern w:val="32"/>
                <w:sz w:val="20"/>
                <w:szCs w:val="20"/>
              </w:rPr>
            </w:pPr>
            <w:r w:rsidRPr="00DB4CC3">
              <w:rPr>
                <w:rFonts w:ascii="Times New Roman" w:hAnsi="Times New Roman"/>
                <w:i/>
                <w:kern w:val="32"/>
                <w:sz w:val="20"/>
                <w:szCs w:val="20"/>
              </w:rPr>
              <w:t>(руб.)</w:t>
            </w:r>
          </w:p>
        </w:tc>
        <w:tc>
          <w:tcPr>
            <w:tcW w:w="620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 xml:space="preserve">Процентная ставка </w:t>
            </w:r>
          </w:p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i/>
                <w:kern w:val="32"/>
                <w:sz w:val="20"/>
                <w:szCs w:val="20"/>
              </w:rPr>
              <w:t xml:space="preserve"> (% годовых)</w:t>
            </w:r>
          </w:p>
        </w:tc>
        <w:tc>
          <w:tcPr>
            <w:tcW w:w="668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i/>
                <w:kern w:val="32"/>
                <w:sz w:val="26"/>
                <w:szCs w:val="26"/>
              </w:rPr>
              <w:t xml:space="preserve">Цель </w:t>
            </w:r>
          </w:p>
        </w:tc>
        <w:tc>
          <w:tcPr>
            <w:tcW w:w="818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/>
                <w:i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kern w:val="32"/>
                <w:sz w:val="26"/>
                <w:szCs w:val="26"/>
              </w:rPr>
              <w:t>Обеспечение</w:t>
            </w:r>
          </w:p>
          <w:p w:rsidR="00DB4CC3" w:rsidRPr="00DB4CC3" w:rsidRDefault="00DB4CC3" w:rsidP="00DB4CC3">
            <w:pPr>
              <w:jc w:val="center"/>
              <w:rPr>
                <w:rFonts w:ascii="Times New Roman" w:hAnsi="Times New Roman"/>
                <w:i/>
                <w:kern w:val="32"/>
                <w:sz w:val="26"/>
                <w:szCs w:val="26"/>
              </w:rPr>
            </w:pPr>
          </w:p>
        </w:tc>
      </w:tr>
      <w:tr w:rsidR="00DB4CC3" w:rsidRPr="00DB4CC3" w:rsidTr="00DB4CC3">
        <w:trPr>
          <w:trHeight w:val="1581"/>
        </w:trPr>
        <w:tc>
          <w:tcPr>
            <w:tcW w:w="922" w:type="pct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ind w:left="66"/>
              <w:contextualSpacing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ind w:left="66"/>
              <w:contextualSpacing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«</w:t>
            </w:r>
            <w:proofErr w:type="spellStart"/>
            <w:r w:rsidRPr="00DB4CC3">
              <w:rPr>
                <w:rFonts w:ascii="Times New Roman" w:hAnsi="Times New Roman"/>
                <w:b/>
                <w:kern w:val="32"/>
                <w:sz w:val="24"/>
                <w:szCs w:val="24"/>
              </w:rPr>
              <w:t>Самозанятый</w:t>
            </w:r>
            <w:proofErr w:type="spellEnd"/>
            <w:r w:rsidRPr="00DB4CC3">
              <w:rPr>
                <w:rFonts w:ascii="Times New Roman" w:hAnsi="Times New Roman"/>
                <w:b/>
                <w:kern w:val="32"/>
                <w:sz w:val="24"/>
                <w:szCs w:val="24"/>
              </w:rPr>
              <w:t>»</w:t>
            </w:r>
          </w:p>
        </w:tc>
        <w:tc>
          <w:tcPr>
            <w:tcW w:w="1066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физические лица, в том числе  индивидуальные предприниматели, применяющие специальный налоговый режим "Налог на профессиональный доход", зарегистрированные и/или состоящие на налоговом учете на территории Волгоградской области не менее 3 (трех) месяцев. </w:t>
            </w:r>
          </w:p>
        </w:tc>
        <w:tc>
          <w:tcPr>
            <w:tcW w:w="523" w:type="pct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24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</w:pPr>
            <w:r w:rsidRPr="00DB4CC3"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  <w:t xml:space="preserve"> </w:t>
            </w:r>
            <w:r w:rsidRPr="00DB4CC3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до 24 мес. 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color w:val="FF0000"/>
                <w:kern w:val="24"/>
                <w:sz w:val="24"/>
                <w:szCs w:val="24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 xml:space="preserve">от 100 000 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 xml:space="preserve">до  500 000 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 xml:space="preserve"> ключевая ставка Банка России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</w:p>
        </w:tc>
        <w:tc>
          <w:tcPr>
            <w:tcW w:w="668" w:type="pct"/>
            <w:vMerge w:val="restart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- приобретение </w:t>
            </w:r>
            <w:proofErr w:type="spellStart"/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внеоборотных</w:t>
            </w:r>
            <w:proofErr w:type="spellEnd"/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 активов;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>- текущие расходы</w:t>
            </w:r>
          </w:p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</w:tc>
        <w:tc>
          <w:tcPr>
            <w:tcW w:w="818" w:type="pct"/>
            <w:vMerge w:val="restart"/>
          </w:tcPr>
          <w:p w:rsidR="00DB4CC3" w:rsidRPr="00DB4CC3" w:rsidRDefault="00DB4CC3" w:rsidP="00DB4CC3">
            <w:pPr>
              <w:tabs>
                <w:tab w:val="left" w:pos="410"/>
              </w:tabs>
              <w:ind w:left="12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tabs>
                <w:tab w:val="left" w:pos="410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numPr>
                <w:ilvl w:val="0"/>
                <w:numId w:val="4"/>
              </w:numPr>
              <w:tabs>
                <w:tab w:val="left" w:pos="410"/>
              </w:tabs>
              <w:ind w:left="12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Поручительство физ. лиц</w:t>
            </w:r>
          </w:p>
          <w:p w:rsidR="00DB4CC3" w:rsidRPr="00DB4CC3" w:rsidRDefault="00DB4CC3" w:rsidP="00DB4CC3">
            <w:pPr>
              <w:numPr>
                <w:ilvl w:val="0"/>
                <w:numId w:val="4"/>
              </w:numPr>
              <w:tabs>
                <w:tab w:val="left" w:pos="410"/>
              </w:tabs>
              <w:ind w:left="12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Залог </w:t>
            </w:r>
            <w:proofErr w:type="gramStart"/>
            <w:r w:rsidRPr="00DB4CC3">
              <w:rPr>
                <w:rFonts w:ascii="Times New Roman" w:hAnsi="Times New Roman"/>
                <w:sz w:val="16"/>
                <w:szCs w:val="16"/>
              </w:rPr>
              <w:t>движимого</w:t>
            </w:r>
            <w:proofErr w:type="gramEnd"/>
            <w:r w:rsidRPr="00DB4CC3">
              <w:rPr>
                <w:rFonts w:ascii="Times New Roman" w:hAnsi="Times New Roman"/>
                <w:sz w:val="16"/>
                <w:szCs w:val="16"/>
              </w:rPr>
              <w:t xml:space="preserve"> имущества, </w:t>
            </w:r>
          </w:p>
          <w:p w:rsidR="00DB4CC3" w:rsidRPr="00DB4CC3" w:rsidRDefault="00DB4CC3" w:rsidP="00DB4CC3">
            <w:pPr>
              <w:numPr>
                <w:ilvl w:val="0"/>
                <w:numId w:val="4"/>
              </w:numPr>
              <w:tabs>
                <w:tab w:val="left" w:pos="410"/>
              </w:tabs>
              <w:ind w:left="126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Поручительство ассоциации (некоммерческого партнерства) "Гарантийный фонд Волгоградской области"</w:t>
            </w:r>
          </w:p>
          <w:p w:rsidR="00DB4CC3" w:rsidRPr="00DB4CC3" w:rsidRDefault="00DB4CC3" w:rsidP="00DB4CC3">
            <w:pPr>
              <w:tabs>
                <w:tab w:val="left" w:pos="410"/>
                <w:tab w:val="left" w:pos="851"/>
              </w:tabs>
              <w:ind w:firstLine="2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B4CC3" w:rsidRPr="00DB4CC3" w:rsidRDefault="00DB4CC3" w:rsidP="00DB4CC3">
            <w:pPr>
              <w:tabs>
                <w:tab w:val="left" w:pos="410"/>
                <w:tab w:val="left" w:pos="851"/>
              </w:tabs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sz w:val="16"/>
                <w:szCs w:val="16"/>
              </w:rPr>
              <w:t>Дополнительное обеспечение – поручительство супруга (и)</w:t>
            </w:r>
          </w:p>
        </w:tc>
      </w:tr>
      <w:tr w:rsidR="00DB4CC3" w:rsidRPr="00DB4CC3" w:rsidTr="00DB4CC3">
        <w:trPr>
          <w:trHeight w:val="1714"/>
        </w:trPr>
        <w:tc>
          <w:tcPr>
            <w:tcW w:w="922" w:type="pct"/>
            <w:vMerge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spacing w:line="240" w:lineRule="exact"/>
              <w:ind w:left="66"/>
              <w:contextualSpacing/>
              <w:jc w:val="center"/>
              <w:rPr>
                <w:rFonts w:ascii="Times New Roman" w:hAnsi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hAnsi="Times New Roman"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физические лица, в том числе  индивидуальные предприниматели,  применяющие специальный налоговый режим "Налог на профессиональный доход", зарегистрированные и/или состоящие на налоговом учете </w:t>
            </w:r>
            <w:r w:rsidRPr="00DB4CC3">
              <w:rPr>
                <w:rFonts w:ascii="Times New Roman" w:hAnsi="Times New Roman"/>
                <w:sz w:val="16"/>
                <w:szCs w:val="16"/>
              </w:rPr>
              <w:t xml:space="preserve">на территории </w:t>
            </w:r>
            <w:proofErr w:type="spellStart"/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монопрофильных</w:t>
            </w:r>
            <w:proofErr w:type="spellEnd"/>
            <w:r w:rsidRPr="00DB4CC3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муниципальных образований Волгоградской области                 (г. Михайловка, г. Фролово)</w:t>
            </w:r>
            <w:r w:rsidRPr="00DB4CC3">
              <w:rPr>
                <w:rFonts w:ascii="Times New Roman" w:hAnsi="Times New Roman"/>
                <w:kern w:val="32"/>
                <w:sz w:val="16"/>
                <w:szCs w:val="16"/>
              </w:rPr>
              <w:t xml:space="preserve"> не менее 3 (трех) месяцев и соответствующие одному или нескольким условиям «Приоритетного проекта», согласно таблице 1  </w:t>
            </w:r>
          </w:p>
        </w:tc>
        <w:tc>
          <w:tcPr>
            <w:tcW w:w="523" w:type="pct"/>
            <w:vMerge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</w:p>
        </w:tc>
        <w:tc>
          <w:tcPr>
            <w:tcW w:w="381" w:type="pct"/>
            <w:vMerge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kern w:val="32"/>
                <w:sz w:val="26"/>
                <w:szCs w:val="26"/>
              </w:rPr>
            </w:pPr>
          </w:p>
        </w:tc>
        <w:tc>
          <w:tcPr>
            <w:tcW w:w="620" w:type="pct"/>
            <w:vAlign w:val="center"/>
          </w:tcPr>
          <w:p w:rsidR="00DB4CC3" w:rsidRPr="00DB4CC3" w:rsidRDefault="00DB4CC3" w:rsidP="00DB4CC3">
            <w:pPr>
              <w:autoSpaceDE w:val="0"/>
              <w:autoSpaceDN w:val="0"/>
              <w:ind w:left="26"/>
              <w:contextualSpacing/>
              <w:jc w:val="center"/>
              <w:rPr>
                <w:rFonts w:ascii="Times New Roman" w:hAnsi="Times New Roman"/>
                <w:b/>
                <w:kern w:val="32"/>
                <w:sz w:val="16"/>
                <w:szCs w:val="16"/>
              </w:rPr>
            </w:pPr>
            <w:r w:rsidRPr="00DB4CC3">
              <w:rPr>
                <w:rFonts w:ascii="Times New Roman" w:hAnsi="Times New Roman"/>
                <w:b/>
                <w:sz w:val="16"/>
                <w:szCs w:val="16"/>
              </w:rPr>
              <w:t>½ ключевая ставка Банка России</w:t>
            </w:r>
            <w:r w:rsidRPr="00DB4CC3">
              <w:rPr>
                <w:rFonts w:ascii="Times New Roman" w:hAnsi="Times New Roman"/>
                <w:b/>
                <w:kern w:val="32"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vMerge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16"/>
                <w:szCs w:val="16"/>
              </w:rPr>
            </w:pPr>
          </w:p>
        </w:tc>
        <w:tc>
          <w:tcPr>
            <w:tcW w:w="818" w:type="pct"/>
            <w:vMerge/>
          </w:tcPr>
          <w:p w:rsidR="00DB4CC3" w:rsidRPr="00DB4CC3" w:rsidRDefault="00DB4CC3" w:rsidP="00DB4CC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kern w:val="32"/>
                <w:sz w:val="26"/>
                <w:szCs w:val="26"/>
              </w:rPr>
            </w:pPr>
          </w:p>
        </w:tc>
      </w:tr>
    </w:tbl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Под </w:t>
      </w:r>
      <w:proofErr w:type="gramStart"/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>приоритетными</w:t>
      </w:r>
      <w:proofErr w:type="gramEnd"/>
      <w:r w:rsidRPr="00DB4CC3"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  <w:t xml:space="preserve"> понимаются проекты, которые удовлетворяют одному или нескольким условиям:</w:t>
      </w:r>
      <w:r w:rsidRPr="00DB4CC3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         </w:t>
      </w: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</w:p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B4CC3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(Таблица 1)</w:t>
      </w:r>
    </w:p>
    <w:tbl>
      <w:tblPr>
        <w:tblStyle w:val="4"/>
        <w:tblW w:w="4929" w:type="pct"/>
        <w:tblLook w:val="04A0" w:firstRow="1" w:lastRow="0" w:firstColumn="1" w:lastColumn="0" w:noHBand="0" w:noVBand="1"/>
      </w:tblPr>
      <w:tblGrid>
        <w:gridCol w:w="15135"/>
      </w:tblGrid>
      <w:tr w:rsidR="00DB4CC3" w:rsidRPr="00DB4CC3" w:rsidTr="00DB4CC3">
        <w:tc>
          <w:tcPr>
            <w:tcW w:w="5000" w:type="pct"/>
          </w:tcPr>
          <w:p w:rsidR="00DB4CC3" w:rsidRPr="005A13F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13F3">
              <w:rPr>
                <w:rFonts w:ascii="Times New Roman" w:hAnsi="Times New Roman"/>
                <w:b/>
                <w:bCs/>
                <w:sz w:val="20"/>
                <w:szCs w:val="20"/>
              </w:rPr>
              <w:t>женщины,</w:t>
            </w:r>
            <w:r w:rsidRPr="005A13F3">
              <w:rPr>
                <w:rFonts w:ascii="Times New Roman" w:hAnsi="Times New Roman"/>
                <w:bCs/>
                <w:sz w:val="20"/>
                <w:szCs w:val="20"/>
              </w:rPr>
              <w:t xml:space="preserve"> применяющие специальный налоговый режим "Налог на профессиональный доход";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5A13F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A13F3">
              <w:rPr>
                <w:rFonts w:ascii="Times New Roman" w:hAnsi="Times New Roman"/>
                <w:sz w:val="20"/>
                <w:szCs w:val="20"/>
              </w:rPr>
              <w:t xml:space="preserve">физическое лицо, применяющее специальный налоговый режим "Налог на профессиональный доход", </w:t>
            </w:r>
            <w:r w:rsidRPr="005A13F3">
              <w:rPr>
                <w:rFonts w:ascii="Times New Roman" w:hAnsi="Times New Roman"/>
                <w:b/>
                <w:sz w:val="20"/>
                <w:szCs w:val="20"/>
              </w:rPr>
              <w:t>осуществляет реализацию проекта в сферах туризма, экологии или спорт</w:t>
            </w:r>
          </w:p>
        </w:tc>
      </w:tr>
      <w:tr w:rsidR="00DB4CC3" w:rsidRPr="00DB4CC3" w:rsidTr="00DB4CC3">
        <w:tc>
          <w:tcPr>
            <w:tcW w:w="5000" w:type="pct"/>
          </w:tcPr>
          <w:p w:rsidR="00DB4CC3" w:rsidRPr="005A13F3" w:rsidRDefault="00DB4CC3" w:rsidP="00DB4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3F3">
              <w:rPr>
                <w:rFonts w:ascii="Times New Roman" w:hAnsi="Times New Roman"/>
                <w:b/>
                <w:sz w:val="20"/>
                <w:szCs w:val="20"/>
              </w:rPr>
              <w:t>физическое лицо старше 45 лет</w:t>
            </w:r>
            <w:r w:rsidRPr="005A13F3">
              <w:rPr>
                <w:rFonts w:ascii="Times New Roman" w:hAnsi="Times New Roman"/>
                <w:sz w:val="20"/>
                <w:szCs w:val="20"/>
              </w:rPr>
              <w:t xml:space="preserve">, применяющим специальный налоговый режим "Налог на профессиональный доход", который является </w:t>
            </w:r>
            <w:r w:rsidRPr="005A13F3">
              <w:rPr>
                <w:rFonts w:ascii="Times New Roman" w:hAnsi="Times New Roman"/>
                <w:b/>
                <w:sz w:val="20"/>
                <w:szCs w:val="20"/>
              </w:rPr>
              <w:t xml:space="preserve">вновь зарегистрированным и действующим менее 1 (одного) года </w:t>
            </w:r>
            <w:r w:rsidRPr="005A13F3">
              <w:rPr>
                <w:rFonts w:ascii="Times New Roman" w:hAnsi="Times New Roman"/>
                <w:sz w:val="20"/>
                <w:szCs w:val="20"/>
              </w:rPr>
              <w:t xml:space="preserve">на момент принятия решения о предоставлении </w:t>
            </w:r>
            <w:proofErr w:type="spellStart"/>
            <w:r w:rsidRPr="005A13F3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  <w:r w:rsidRPr="005A13F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DB4CC3" w:rsidRPr="00DB4CC3" w:rsidRDefault="00DB4CC3" w:rsidP="00DB4CC3">
      <w:pPr>
        <w:autoSpaceDE w:val="0"/>
        <w:autoSpaceDN w:val="0"/>
        <w:spacing w:after="0" w:line="240" w:lineRule="exact"/>
        <w:ind w:left="360"/>
        <w:jc w:val="right"/>
        <w:rPr>
          <w:rFonts w:ascii="Times New Roman" w:eastAsia="Times New Roman" w:hAnsi="Times New Roman" w:cs="Times New Roman"/>
          <w:b/>
          <w:i/>
          <w:kern w:val="32"/>
          <w:sz w:val="26"/>
          <w:szCs w:val="26"/>
          <w:lang w:eastAsia="ru-RU"/>
        </w:rPr>
      </w:pPr>
    </w:p>
    <w:p w:rsidR="008E1F4C" w:rsidRDefault="008E1F4C">
      <w:bookmarkStart w:id="1" w:name="_GoBack"/>
      <w:bookmarkEnd w:id="1"/>
    </w:p>
    <w:sectPr w:rsidR="008E1F4C" w:rsidSect="00DB4CC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3C04"/>
    <w:multiLevelType w:val="hybridMultilevel"/>
    <w:tmpl w:val="E5F6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6260C1"/>
    <w:multiLevelType w:val="hybridMultilevel"/>
    <w:tmpl w:val="0A501728"/>
    <w:lvl w:ilvl="0" w:tplc="B00A113E">
      <w:start w:val="1"/>
      <w:numFmt w:val="decimal"/>
      <w:lvlText w:val="%1."/>
      <w:lvlJc w:val="left"/>
      <w:pPr>
        <w:ind w:left="7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5" w:hanging="180"/>
      </w:pPr>
      <w:rPr>
        <w:rFonts w:cs="Times New Roman"/>
      </w:rPr>
    </w:lvl>
  </w:abstractNum>
  <w:abstractNum w:abstractNumId="2">
    <w:nsid w:val="606A18BA"/>
    <w:multiLevelType w:val="hybridMultilevel"/>
    <w:tmpl w:val="82C6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76BD"/>
    <w:multiLevelType w:val="hybridMultilevel"/>
    <w:tmpl w:val="2C36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C3"/>
    <w:rsid w:val="005A13F3"/>
    <w:rsid w:val="00613C06"/>
    <w:rsid w:val="008E1F4C"/>
    <w:rsid w:val="00B90BF4"/>
    <w:rsid w:val="00D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B4C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26B3F-9004-4EB4-B70C-B262884CC794}"/>
</file>

<file path=customXml/itemProps2.xml><?xml version="1.0" encoding="utf-8"?>
<ds:datastoreItem xmlns:ds="http://schemas.openxmlformats.org/officeDocument/2006/customXml" ds:itemID="{08D94EEF-0287-47C1-802E-374E7AE45B4E}"/>
</file>

<file path=customXml/itemProps3.xml><?xml version="1.0" encoding="utf-8"?>
<ds:datastoreItem xmlns:ds="http://schemas.openxmlformats.org/officeDocument/2006/customXml" ds:itemID="{92A89FEE-AF89-4A3E-BFF8-4F21B7D6EB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Емелина Елизавета Артемовна</cp:lastModifiedBy>
  <cp:revision>4</cp:revision>
  <dcterms:created xsi:type="dcterms:W3CDTF">2021-03-02T07:19:00Z</dcterms:created>
  <dcterms:modified xsi:type="dcterms:W3CDTF">2021-03-02T12:54:00Z</dcterms:modified>
</cp:coreProperties>
</file>