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55974" w14:textId="77777777" w:rsidR="00A91ECA" w:rsidRPr="00FE6FBC" w:rsidRDefault="00A91ECA" w:rsidP="00A91E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bookmarkStart w:id="0" w:name="_GoBack"/>
      <w:bookmarkEnd w:id="0"/>
    </w:p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A91ECA" w:rsidRPr="00213557" w14:paraId="63A2FCA6" w14:textId="77777777" w:rsidTr="00213EE8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54"/>
              <w:gridCol w:w="7857"/>
            </w:tblGrid>
            <w:tr w:rsidR="00A91ECA" w:rsidRPr="00213557" w14:paraId="443A8A38" w14:textId="77777777" w:rsidTr="00213EE8">
              <w:trPr>
                <w:trHeight w:val="1631"/>
              </w:trPr>
              <w:tc>
                <w:tcPr>
                  <w:tcW w:w="2054" w:type="dxa"/>
                  <w:vAlign w:val="center"/>
                </w:tcPr>
                <w:p w14:paraId="64E5A968" w14:textId="77777777" w:rsidR="00A91ECA" w:rsidRPr="00621027" w:rsidRDefault="00A91ECA" w:rsidP="00213EE8">
                  <w:pPr>
                    <w:pStyle w:val="a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DDCCBB0" wp14:editId="2A7EEDFD">
                        <wp:extent cx="1147445" cy="1009015"/>
                        <wp:effectExtent l="19050" t="0" r="0" b="0"/>
                        <wp:docPr id="2" name="Рисунок 1" descr="Описание: 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009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14:paraId="59A0D4B2" w14:textId="77777777" w:rsidR="00A91ECA" w:rsidRPr="00621027" w:rsidRDefault="00A91ECA" w:rsidP="00213EE8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14:paraId="0A0C894F" w14:textId="77777777" w:rsidR="00A91ECA" w:rsidRPr="00012E9E" w:rsidRDefault="00A91ECA" w:rsidP="00213EE8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2E9E">
                    <w:rPr>
                      <w:rFonts w:ascii="Arial Narrow" w:hAnsi="Arial Narrow" w:cs="Arial"/>
                      <w:sz w:val="20"/>
                      <w:szCs w:val="20"/>
                    </w:rPr>
                    <w:t>Адрес: 127015, г. Москва, Бумажный проезд, дом 14, строение 1</w:t>
                  </w:r>
                </w:p>
                <w:p w14:paraId="1DFC4A9B" w14:textId="77777777" w:rsidR="00A91ECA" w:rsidRPr="00621027" w:rsidRDefault="00A91ECA" w:rsidP="00213EE8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Для корреспонденции: 127137,г. Москва, а/я 46</w:t>
                  </w:r>
                </w:p>
                <w:p w14:paraId="72C6EAE8" w14:textId="77777777" w:rsidR="00A91ECA" w:rsidRPr="00621027" w:rsidRDefault="00A91ECA" w:rsidP="00213EE8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ИНН 7707698826, КПП 771401001</w:t>
                  </w:r>
                </w:p>
                <w:p w14:paraId="542EB4E0" w14:textId="77777777" w:rsidR="00A91ECA" w:rsidRPr="00621027" w:rsidRDefault="00A91ECA" w:rsidP="00213EE8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ОГРН 1097746103443</w:t>
                  </w:r>
                </w:p>
                <w:p w14:paraId="1EDDD31D" w14:textId="77777777" w:rsidR="00A91ECA" w:rsidRPr="00621027" w:rsidRDefault="00A91ECA" w:rsidP="00213EE8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Тел: (495)532-61-59 многоканальный</w:t>
                  </w:r>
                </w:p>
                <w:p w14:paraId="3EF8BBEE" w14:textId="77777777" w:rsidR="00A91ECA" w:rsidRPr="00621027" w:rsidRDefault="00A91ECA" w:rsidP="00213EE8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E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>-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mail</w:t>
                  </w:r>
                  <w:r w:rsidRPr="0062102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info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</w:rPr>
                      <w:t>@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asergroup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</w:rPr>
                      <w:t>.</w:t>
                    </w:r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14:paraId="674E5C5F" w14:textId="77777777" w:rsidR="00A91ECA" w:rsidRPr="00621027" w:rsidRDefault="00A91ECA" w:rsidP="00213EE8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621027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8" w:history="1">
                    <w:r w:rsidRPr="00621027">
                      <w:rPr>
                        <w:rStyle w:val="a7"/>
                        <w:rFonts w:ascii="Arial Narrow" w:hAnsi="Arial Narrow" w:cs="Arial"/>
                        <w:color w:val="auto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14:paraId="14D55ACA" w14:textId="77777777" w:rsidR="00A91ECA" w:rsidRPr="00621027" w:rsidRDefault="00A91ECA" w:rsidP="00213EE8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2" w:type="dxa"/>
            <w:vAlign w:val="center"/>
          </w:tcPr>
          <w:p w14:paraId="5808C60E" w14:textId="77777777" w:rsidR="00A91ECA" w:rsidRPr="00621027" w:rsidRDefault="00A91ECA" w:rsidP="00213EE8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A91ECA" w:rsidRPr="00621027" w14:paraId="245E2B81" w14:textId="77777777" w:rsidTr="00213EE8">
        <w:trPr>
          <w:trHeight w:val="33"/>
        </w:trPr>
        <w:tc>
          <w:tcPr>
            <w:tcW w:w="10457" w:type="dxa"/>
            <w:gridSpan w:val="2"/>
            <w:vAlign w:val="center"/>
          </w:tcPr>
          <w:p w14:paraId="7EC345EA" w14:textId="55EEAF4B" w:rsidR="00A91ECA" w:rsidRPr="00621027" w:rsidRDefault="00612AE7" w:rsidP="00213EE8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0E3BDD" wp14:editId="534695D3">
                      <wp:extent cx="5977890" cy="635"/>
                      <wp:effectExtent l="28575" t="28575" r="32385" b="3746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7890" cy="63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" strokecolor="#036" strokeweight="4.5pt">
                      <v:stroke linestyle="thinThick"/>
                      <w10:anchorlock/>
                    </v:line>
                  </w:pict>
                </mc:Fallback>
              </mc:AlternateContent>
            </w:r>
          </w:p>
        </w:tc>
      </w:tr>
    </w:tbl>
    <w:p w14:paraId="4BB7B354" w14:textId="77777777" w:rsidR="00A91ECA" w:rsidRPr="00621027" w:rsidRDefault="00A91ECA" w:rsidP="00A91ECA">
      <w:pPr>
        <w:spacing w:before="60" w:after="60" w:line="240" w:lineRule="auto"/>
        <w:rPr>
          <w:rFonts w:ascii="Arial" w:hAnsi="Arial" w:cs="Arial"/>
          <w:b/>
          <w:sz w:val="2"/>
          <w:szCs w:val="2"/>
        </w:rPr>
      </w:pPr>
    </w:p>
    <w:p w14:paraId="61677195" w14:textId="77777777" w:rsidR="00A91ECA" w:rsidRPr="00621027" w:rsidRDefault="00A91ECA" w:rsidP="00A91ECA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1027">
        <w:rPr>
          <w:rFonts w:ascii="Times New Roman" w:hAnsi="Times New Roman"/>
          <w:b/>
          <w:sz w:val="32"/>
          <w:szCs w:val="32"/>
        </w:rPr>
        <w:t>Всероссийский онлайн марафон</w:t>
      </w:r>
    </w:p>
    <w:p w14:paraId="587D59B0" w14:textId="77777777" w:rsidR="00A91ECA" w:rsidRPr="00621027" w:rsidRDefault="00A91ECA" w:rsidP="00A91ECA">
      <w:pPr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«Таможенное регулирование и администрирование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2021</w:t>
      </w:r>
      <w:r w:rsidRPr="0062102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14:paraId="5BE698BE" w14:textId="77777777" w:rsidR="00A91ECA" w:rsidRPr="00621027" w:rsidRDefault="00A91ECA" w:rsidP="00A91ECA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621027">
        <w:rPr>
          <w:rFonts w:ascii="Times New Roman" w:hAnsi="Times New Roman"/>
          <w:sz w:val="32"/>
          <w:szCs w:val="32"/>
        </w:rPr>
        <w:t xml:space="preserve">Программа </w:t>
      </w:r>
    </w:p>
    <w:p w14:paraId="387E88C4" w14:textId="77777777" w:rsidR="00A91ECA" w:rsidRDefault="00A91ECA" w:rsidP="00A91ECA">
      <w:pPr>
        <w:pStyle w:val="a9"/>
        <w:shd w:val="clear" w:color="auto" w:fill="FFFFFF"/>
        <w:spacing w:before="0" w:beforeAutospacing="0" w:after="300" w:afterAutospacing="0" w:line="300" w:lineRule="atLeast"/>
        <w:jc w:val="center"/>
        <w:rPr>
          <w:b/>
          <w:sz w:val="32"/>
          <w:szCs w:val="32"/>
        </w:rPr>
      </w:pPr>
    </w:p>
    <w:p w14:paraId="69519593" w14:textId="77777777" w:rsidR="00A91ECA" w:rsidRDefault="00A91ECA" w:rsidP="00A91ECA">
      <w:pPr>
        <w:pStyle w:val="a9"/>
        <w:shd w:val="clear" w:color="auto" w:fill="FFFFFF"/>
        <w:spacing w:before="60" w:beforeAutospacing="0" w:after="60" w:afterAutospacing="0"/>
        <w:jc w:val="center"/>
        <w:rPr>
          <w:b/>
          <w:sz w:val="32"/>
          <w:szCs w:val="32"/>
        </w:rPr>
      </w:pPr>
      <w:r w:rsidRPr="00621027">
        <w:rPr>
          <w:b/>
          <w:sz w:val="32"/>
          <w:szCs w:val="32"/>
        </w:rPr>
        <w:t>Модуль 1 (</w:t>
      </w:r>
      <w:r>
        <w:rPr>
          <w:b/>
          <w:sz w:val="32"/>
          <w:szCs w:val="32"/>
        </w:rPr>
        <w:t>06 декабря</w:t>
      </w:r>
      <w:r w:rsidRPr="00621027">
        <w:rPr>
          <w:b/>
          <w:sz w:val="32"/>
          <w:szCs w:val="32"/>
        </w:rPr>
        <w:t>, 2021, время мск)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A07E49" w:rsidRPr="00213557" w14:paraId="3A6DBA2E" w14:textId="77777777" w:rsidTr="00357C23">
        <w:trPr>
          <w:trHeight w:val="274"/>
        </w:trPr>
        <w:tc>
          <w:tcPr>
            <w:tcW w:w="1701" w:type="dxa"/>
            <w:shd w:val="clear" w:color="auto" w:fill="D9D9D9"/>
          </w:tcPr>
          <w:p w14:paraId="5717CF51" w14:textId="4BEC96C4" w:rsidR="00A07E49" w:rsidRPr="00213557" w:rsidRDefault="00A07E49" w:rsidP="00357C2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13.10 – 13.50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77949F7" w14:textId="77777777" w:rsidR="00A07E49" w:rsidRPr="00213557" w:rsidRDefault="00A07E49" w:rsidP="00357C23">
            <w:pPr>
              <w:pStyle w:val="a9"/>
              <w:shd w:val="clear" w:color="auto" w:fill="FFFFFF"/>
              <w:spacing w:before="60" w:beforeAutospacing="0" w:after="60" w:afterAutospacing="0"/>
              <w:ind w:left="720"/>
              <w:rPr>
                <w:b/>
                <w:bCs/>
                <w:sz w:val="28"/>
                <w:szCs w:val="28"/>
              </w:rPr>
            </w:pPr>
            <w:r w:rsidRPr="002135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13557">
              <w:rPr>
                <w:b/>
                <w:bCs/>
                <w:sz w:val="28"/>
                <w:szCs w:val="28"/>
              </w:rPr>
              <w:t>Классификация товаров в соответствии с ТН ВЭД, таможенные споры в связи с классификацией.</w:t>
            </w:r>
          </w:p>
          <w:p w14:paraId="13176605" w14:textId="77777777" w:rsidR="00A07E49" w:rsidRPr="00213557" w:rsidRDefault="00A07E49" w:rsidP="00357C2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Код ТН ВЭД.</w:t>
            </w:r>
          </w:p>
          <w:p w14:paraId="03B186C4" w14:textId="77777777" w:rsidR="00A07E49" w:rsidRPr="00213557" w:rsidRDefault="00A07E49" w:rsidP="00357C2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Права и обязанности декларанта и таможенного представителя при заявлении кода ТН ВЭД.</w:t>
            </w:r>
          </w:p>
          <w:p w14:paraId="4C8BC27A" w14:textId="77777777" w:rsidR="00A07E49" w:rsidRPr="00213557" w:rsidRDefault="00A07E49" w:rsidP="00357C2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Ошибки при классификации товаров.</w:t>
            </w:r>
          </w:p>
          <w:p w14:paraId="28B0A1C8" w14:textId="77777777" w:rsidR="00A07E49" w:rsidRPr="00213557" w:rsidRDefault="00A07E49" w:rsidP="00357C2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Решения по классификации товаров.</w:t>
            </w:r>
          </w:p>
          <w:p w14:paraId="1B3B38DF" w14:textId="77777777" w:rsidR="00A07E49" w:rsidRPr="00213557" w:rsidRDefault="00A07E49" w:rsidP="00357C2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Споры по классификации, эффективные действия и аргументы в поддержку заявленного кода.</w:t>
            </w:r>
          </w:p>
          <w:p w14:paraId="4A0173DD" w14:textId="77777777" w:rsidR="00A07E49" w:rsidRPr="00213557" w:rsidRDefault="00A07E49" w:rsidP="00357C2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Административная ответственность.</w:t>
            </w:r>
          </w:p>
          <w:p w14:paraId="30A1635D" w14:textId="7002B66F" w:rsidR="00A07E49" w:rsidRPr="00213557" w:rsidRDefault="00A07E49" w:rsidP="00A07E49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bCs/>
                <w:i/>
              </w:rPr>
            </w:pPr>
            <w:r w:rsidRPr="00213557">
              <w:rPr>
                <w:b/>
                <w:bCs/>
                <w:i/>
              </w:rPr>
              <w:t>Донцова Г.Н.</w:t>
            </w:r>
            <w:r w:rsidRPr="00213557">
              <w:rPr>
                <w:bCs/>
                <w:i/>
              </w:rPr>
              <w:t> – руководитель группы таможенного права российской налоговой и таможенной практики компании  Dentons.</w:t>
            </w:r>
          </w:p>
        </w:tc>
      </w:tr>
      <w:tr w:rsidR="00A07E49" w:rsidRPr="00213557" w14:paraId="27218AFF" w14:textId="77777777" w:rsidTr="00357C23">
        <w:trPr>
          <w:trHeight w:val="274"/>
        </w:trPr>
        <w:tc>
          <w:tcPr>
            <w:tcW w:w="1701" w:type="dxa"/>
            <w:shd w:val="clear" w:color="auto" w:fill="D9D9D9"/>
          </w:tcPr>
          <w:p w14:paraId="675EB6BF" w14:textId="3393E077" w:rsidR="00A07E49" w:rsidRPr="00213557" w:rsidRDefault="00A07E49" w:rsidP="00357C23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13.50 – 14.10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795BDE4" w14:textId="77777777" w:rsidR="00A07E49" w:rsidRPr="00213557" w:rsidRDefault="00A07E49" w:rsidP="00357C2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06A29B04" w14:textId="77777777" w:rsidR="00A07E49" w:rsidRPr="00213557" w:rsidRDefault="00A07E49" w:rsidP="00357C2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91ECA" w:rsidRPr="00213557" w14:paraId="7E8DE1B4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79E42874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14.10 – 14.50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CD416D5" w14:textId="144F5EB3" w:rsidR="00024AFE" w:rsidRPr="00213557" w:rsidRDefault="00024AFE" w:rsidP="00A07E49">
            <w:pPr>
              <w:pStyle w:val="a9"/>
              <w:shd w:val="clear" w:color="auto" w:fill="FFFFFF"/>
              <w:spacing w:before="60" w:beforeAutospacing="0" w:after="60" w:afterAutospacing="0"/>
              <w:jc w:val="center"/>
              <w:rPr>
                <w:bCs/>
                <w:i/>
              </w:rPr>
            </w:pPr>
            <w:r w:rsidRPr="00213557">
              <w:rPr>
                <w:b/>
                <w:bCs/>
                <w:sz w:val="28"/>
                <w:szCs w:val="28"/>
              </w:rPr>
              <w:t>Трансграничная интернет-торговля: таможенные аспекты.</w:t>
            </w:r>
          </w:p>
          <w:p w14:paraId="2F7CB296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rPr>
                <w:b/>
                <w:bCs/>
                <w:sz w:val="28"/>
                <w:szCs w:val="28"/>
              </w:rPr>
            </w:pPr>
            <w:r w:rsidRPr="00213557">
              <w:rPr>
                <w:b/>
                <w:bCs/>
                <w:sz w:val="28"/>
                <w:szCs w:val="28"/>
              </w:rPr>
              <w:t>Новое регулирование трансграничной интернет- торговли. Бондовые склады . Эксперимент в РФ.</w:t>
            </w:r>
          </w:p>
          <w:p w14:paraId="5DDBE9B9" w14:textId="77777777" w:rsidR="00024AFE" w:rsidRPr="00213557" w:rsidRDefault="00024AFE" w:rsidP="00024AFE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Проект новой главы в Таможенный кодекс О трансграничной интернет - торговле.</w:t>
            </w:r>
          </w:p>
          <w:p w14:paraId="58A2581D" w14:textId="77777777" w:rsidR="00024AFE" w:rsidRPr="00213557" w:rsidRDefault="00024AFE" w:rsidP="00024AFE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Основные новации в регулировании трансграничной электронной торговли.</w:t>
            </w:r>
          </w:p>
          <w:p w14:paraId="671B3EAD" w14:textId="77777777" w:rsidR="00024AFE" w:rsidRPr="00213557" w:rsidRDefault="00024AFE" w:rsidP="00024AFE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Участники процесса и потребители услуг (изготовители, маркетплейсы, операторы электронной торговли, покупатели).</w:t>
            </w:r>
          </w:p>
          <w:p w14:paraId="1B407381" w14:textId="77777777" w:rsidR="00024AFE" w:rsidRPr="00213557" w:rsidRDefault="00024AFE" w:rsidP="00024AFE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«Оператор электронной торговли»: статус, права и обязанности.</w:t>
            </w:r>
          </w:p>
          <w:p w14:paraId="129BCA9F" w14:textId="77777777" w:rsidR="00024AFE" w:rsidRPr="00213557" w:rsidRDefault="00024AFE" w:rsidP="00024AFE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Концепция бондовых складов для доставки товаров в рамках электронной торговли.</w:t>
            </w:r>
          </w:p>
          <w:p w14:paraId="7DB8F66C" w14:textId="77777777" w:rsidR="00024AFE" w:rsidRPr="00213557" w:rsidRDefault="00024AFE" w:rsidP="00024AFE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rPr>
                <w:bCs/>
              </w:rPr>
            </w:pPr>
            <w:r w:rsidRPr="00213557">
              <w:rPr>
                <w:bCs/>
              </w:rPr>
              <w:t>Электронная торговля на экспорт.</w:t>
            </w:r>
          </w:p>
          <w:p w14:paraId="29A01D39" w14:textId="765A7E67" w:rsidR="00024AFE" w:rsidRPr="00213557" w:rsidRDefault="00024AFE" w:rsidP="00024AFE">
            <w:pPr>
              <w:spacing w:before="60" w:after="60" w:line="240" w:lineRule="auto"/>
              <w:jc w:val="both"/>
            </w:pPr>
            <w:r w:rsidRPr="002135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Донцова Г.Н.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 – руководитель группы таможенного права российской 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налоговой и таможенной практики компании  Dentons.</w:t>
            </w:r>
          </w:p>
        </w:tc>
      </w:tr>
      <w:tr w:rsidR="00A91ECA" w:rsidRPr="00213557" w14:paraId="0D01A5B2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2418B9F7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lastRenderedPageBreak/>
              <w:t>14.50 – 15.10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3A31112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01D2BF4D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91ECA" w:rsidRPr="00213557" w14:paraId="69A8405C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133E6467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8505" w:type="dxa"/>
            <w:shd w:val="clear" w:color="auto" w:fill="D9D9D9"/>
          </w:tcPr>
          <w:p w14:paraId="5B9E7981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91ECA" w:rsidRPr="00213557" w14:paraId="4E2BF184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76BA008E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15.30 – 15.10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8B44072" w14:textId="77777777" w:rsidR="00A91ECA" w:rsidRPr="00213557" w:rsidRDefault="00A91ECA" w:rsidP="00213EE8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Таможенное администрирование на современном этапе.</w:t>
            </w:r>
          </w:p>
          <w:p w14:paraId="16192ECE" w14:textId="77777777" w:rsidR="00A91ECA" w:rsidRPr="00213557" w:rsidRDefault="00A91ECA" w:rsidP="00213EE8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Новый порядок диспетчеризации Деклараций на товары.</w:t>
            </w:r>
          </w:p>
          <w:p w14:paraId="5F25630F" w14:textId="77777777" w:rsidR="00E94E3B" w:rsidRPr="00213557" w:rsidRDefault="00A91ECA" w:rsidP="00213EE8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СУР</w:t>
            </w:r>
            <w:r w:rsidR="00E94E3B"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38562891" w14:textId="77777777" w:rsidR="00A91ECA" w:rsidRPr="00213557" w:rsidRDefault="00E94E3B" w:rsidP="00213EE8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A91ECA"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аможенный контроль после выпуска.</w:t>
            </w:r>
          </w:p>
          <w:p w14:paraId="5C5F0EA7" w14:textId="77777777" w:rsidR="00A91ECA" w:rsidRPr="00213557" w:rsidRDefault="00A91ECA" w:rsidP="00213EE8">
            <w:pPr>
              <w:pStyle w:val="a8"/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Новые технологии в работе таможенных органов.</w:t>
            </w:r>
          </w:p>
          <w:p w14:paraId="45C1FD8D" w14:textId="77777777" w:rsidR="00A91ECA" w:rsidRPr="00213557" w:rsidRDefault="00A91ECA" w:rsidP="00A91EC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Личный кабинет. </w:t>
            </w:r>
          </w:p>
          <w:p w14:paraId="3E28DEBE" w14:textId="77777777" w:rsidR="00A91ECA" w:rsidRPr="00213557" w:rsidRDefault="00A91ECA" w:rsidP="00A91EC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лицевой счет. </w:t>
            </w:r>
          </w:p>
          <w:p w14:paraId="40F5F4AB" w14:textId="77777777" w:rsidR="00A91ECA" w:rsidRPr="00213557" w:rsidRDefault="00A91ECA" w:rsidP="00A91ECA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сервисы.</w:t>
            </w:r>
          </w:p>
          <w:p w14:paraId="36B80F33" w14:textId="77777777" w:rsidR="00A91ECA" w:rsidRPr="00213557" w:rsidRDefault="002472C4" w:rsidP="002472C4">
            <w:pPr>
              <w:shd w:val="clear" w:color="auto" w:fill="FFFFFF"/>
              <w:spacing w:after="6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2135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</w:p>
        </w:tc>
      </w:tr>
      <w:tr w:rsidR="00A91ECA" w:rsidRPr="00213557" w14:paraId="5852DD54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06DD3491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16.10 – 16.30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F364975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10AD02D8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91ECA" w:rsidRPr="00213557" w14:paraId="2CBEF672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7E01B694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16.30 – 16.40</w:t>
            </w:r>
          </w:p>
        </w:tc>
        <w:tc>
          <w:tcPr>
            <w:tcW w:w="8505" w:type="dxa"/>
            <w:shd w:val="clear" w:color="auto" w:fill="D9D9D9"/>
          </w:tcPr>
          <w:p w14:paraId="22C64E85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91ECA" w:rsidRPr="00213557" w14:paraId="551CEC29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35013ABF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16.40 – 17.40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B37883B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Важные изменение в системе технического регулирования. Самостоятельная регистрация деклараций о соответствии.</w:t>
            </w:r>
          </w:p>
          <w:p w14:paraId="6C7206EA" w14:textId="77777777" w:rsidR="00A91ECA" w:rsidRPr="00213557" w:rsidRDefault="00A91ECA" w:rsidP="00A91ECA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 техрегулирования.</w:t>
            </w:r>
          </w:p>
          <w:p w14:paraId="6D8023C9" w14:textId="77777777" w:rsidR="00A91ECA" w:rsidRPr="00213557" w:rsidRDefault="00A91ECA" w:rsidP="00A91ECA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порядок регистрации декларации о соответствии.</w:t>
            </w:r>
          </w:p>
          <w:p w14:paraId="67E9BBB2" w14:textId="77777777" w:rsidR="00A91ECA" w:rsidRPr="00213557" w:rsidRDefault="00A91ECA" w:rsidP="00A91ECA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и риски импортера, производителя и таможенного представителя при переходе на самостоятельное декларирование соответствия ввозимых товаров с 01.01.2020 года. </w:t>
            </w:r>
          </w:p>
          <w:p w14:paraId="0CD2883D" w14:textId="77777777" w:rsidR="00A91ECA" w:rsidRPr="00213557" w:rsidRDefault="00A91ECA" w:rsidP="00A91ECA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сведения в декларации о соответствии. Стандарты </w:t>
            </w:r>
            <w:r w:rsidRPr="002135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DS</w:t>
            </w: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 указание кодов </w:t>
            </w:r>
            <w:r w:rsidRPr="002135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GLN</w:t>
            </w: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135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GTIN</w:t>
            </w: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3C14735" w14:textId="77777777" w:rsidR="00A91ECA" w:rsidRPr="00213557" w:rsidRDefault="00A91ECA" w:rsidP="00213EE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Тенденции и решения в сфере технического регулирования и таможенного контроля.</w:t>
            </w:r>
          </w:p>
          <w:p w14:paraId="28D574D4" w14:textId="77777777" w:rsidR="00A91ECA" w:rsidRPr="00213557" w:rsidRDefault="00A91ECA" w:rsidP="00A91ECA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Тенденции, вызовы и решения вопросов контроля таможенными органами соблюдения запретов и ограничений в части оценки соответствия ввозимых товаров.</w:t>
            </w:r>
          </w:p>
          <w:p w14:paraId="1FEFA1D0" w14:textId="77777777" w:rsidR="00A91ECA" w:rsidRPr="00213557" w:rsidRDefault="00A91ECA" w:rsidP="00A91ECA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следует действовать при ввозе образцов и их декларировании?</w:t>
            </w:r>
          </w:p>
          <w:p w14:paraId="471F7643" w14:textId="77777777" w:rsidR="00A91ECA" w:rsidRPr="00213557" w:rsidRDefault="00A91ECA" w:rsidP="00A91ECA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последствия ожидать от ужесточения при сертификации и декларировании о соответствии товаров?</w:t>
            </w:r>
          </w:p>
          <w:p w14:paraId="1D08D00B" w14:textId="77777777" w:rsidR="00A91ECA" w:rsidRPr="00213557" w:rsidRDefault="00A91ECA" w:rsidP="00A91ECA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распознать недобросовестные сертификационные органы и испытательные лаборатории?</w:t>
            </w:r>
          </w:p>
          <w:p w14:paraId="7621F874" w14:textId="77777777" w:rsidR="00A91ECA" w:rsidRPr="00213557" w:rsidRDefault="00A91ECA" w:rsidP="00A91ECA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рисков пост-контроля таможенного органа в сфере оценки соответствия.</w:t>
            </w:r>
          </w:p>
          <w:p w14:paraId="10457EC4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5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</w:p>
        </w:tc>
      </w:tr>
      <w:tr w:rsidR="00A91ECA" w:rsidRPr="00213557" w14:paraId="3029F2B1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519CBB42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lastRenderedPageBreak/>
              <w:t>17.40 – 18.00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4C8AF11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21F0DBB8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545049C4" w14:textId="77777777" w:rsidR="00A91ECA" w:rsidRPr="00213557" w:rsidRDefault="00A91ECA" w:rsidP="00A91ECA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2AB966" w14:textId="77777777" w:rsidR="00A91ECA" w:rsidRPr="00213557" w:rsidRDefault="00A91ECA" w:rsidP="00A91ECA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1745B0" w14:textId="77777777" w:rsidR="00A91ECA" w:rsidRPr="00213557" w:rsidRDefault="00A91ECA" w:rsidP="00A91EC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D93D49" w14:textId="77777777" w:rsidR="00A91ECA" w:rsidRPr="00213557" w:rsidRDefault="00A91ECA" w:rsidP="00A91ECA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3557">
        <w:rPr>
          <w:rFonts w:ascii="Times New Roman" w:hAnsi="Times New Roman"/>
          <w:b/>
          <w:sz w:val="32"/>
          <w:szCs w:val="32"/>
        </w:rPr>
        <w:t>Модуль 2 (07 декабря, 2021, время мск)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A07E49" w:rsidRPr="00213557" w14:paraId="24BC7D46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59111D3E" w14:textId="152E758E" w:rsidR="00A91ECA" w:rsidRPr="00213557" w:rsidRDefault="00A91ECA" w:rsidP="004D7E5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13.20 – 14</w:t>
            </w:r>
            <w:r w:rsidR="00024AFE" w:rsidRPr="00213557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519DB71" w14:textId="77777777" w:rsidR="004D7E5D" w:rsidRPr="00213557" w:rsidRDefault="004D7E5D" w:rsidP="004D7E5D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557">
              <w:rPr>
                <w:rStyle w:val="ac"/>
                <w:rFonts w:ascii="Times New Roman" w:hAnsi="Times New Roman"/>
                <w:sz w:val="28"/>
                <w:szCs w:val="28"/>
              </w:rPr>
              <w:t>Проблемные вопросы определения и контроля таможенной стоимости товаров</w:t>
            </w:r>
          </w:p>
          <w:p w14:paraId="4C0427EF" w14:textId="77777777" w:rsidR="004D7E5D" w:rsidRPr="00213557" w:rsidRDefault="004D7E5D" w:rsidP="004D7E5D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Система нормативно-правового регулирования определения, декларирования и контроля таможенной стоимости товаров.</w:t>
            </w:r>
          </w:p>
          <w:p w14:paraId="567CEA44" w14:textId="77777777" w:rsidR="004D7E5D" w:rsidRPr="00213557" w:rsidRDefault="004D7E5D" w:rsidP="004D7E5D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Подходы к возможности учета документов международных организаций по определению таможенной стоимости товаров в правоприменительной практике  с учетом положений Постановления Пленума Верховного суда РФ № 49.</w:t>
            </w:r>
          </w:p>
          <w:p w14:paraId="113428DE" w14:textId="77777777" w:rsidR="004D7E5D" w:rsidRPr="00213557" w:rsidRDefault="004D7E5D" w:rsidP="004D7E5D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Определение таможенной стоимости товаров – проблемные моменты и распространенные ошибки:</w:t>
            </w:r>
          </w:p>
          <w:p w14:paraId="19109149" w14:textId="77777777" w:rsidR="004D7E5D" w:rsidRPr="00213557" w:rsidRDefault="004D7E5D" w:rsidP="004D7E5D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- ограничения по применению метода 1;</w:t>
            </w:r>
          </w:p>
          <w:p w14:paraId="2BA25FAF" w14:textId="77777777" w:rsidR="004D7E5D" w:rsidRPr="00213557" w:rsidRDefault="004D7E5D" w:rsidP="004D7E5D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 xml:space="preserve">- цена, фактически уплаченная или подлежащая уплате за ввозимые товары (ЦФУ): определение ЦФУ; разрешенные вычеты из ЦФУ; </w:t>
            </w:r>
          </w:p>
          <w:p w14:paraId="0F3D7EF7" w14:textId="77777777" w:rsidR="004D7E5D" w:rsidRPr="00213557" w:rsidRDefault="004D7E5D" w:rsidP="004D7E5D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- дополнительные начисления к ЦФУ.</w:t>
            </w:r>
          </w:p>
          <w:p w14:paraId="453C7AA9" w14:textId="77777777" w:rsidR="004D7E5D" w:rsidRPr="00213557" w:rsidRDefault="004D7E5D" w:rsidP="004D7E5D">
            <w:pPr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Квалификация отдельных моделей договорных отношений либо платежей для целей определения таможенной стоимости товаров, перемещаемых в рамках таких моделей.</w:t>
            </w:r>
          </w:p>
          <w:p w14:paraId="3C3A7053" w14:textId="77777777" w:rsidR="004D7E5D" w:rsidRPr="00213557" w:rsidRDefault="004D7E5D" w:rsidP="004D7E5D">
            <w:pPr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Ввоз проектно-конструкторской документации: определение таможенной стоимости и налоговые последствия.</w:t>
            </w:r>
          </w:p>
          <w:p w14:paraId="28F3EC35" w14:textId="782C77AA" w:rsidR="004D7E5D" w:rsidRPr="00213557" w:rsidRDefault="004D7E5D" w:rsidP="004D7E5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Решения Коллегии ЕЭК по вопросам определения таможенной стоимости товаров, принятые в 2021 году: от 24.02.2021 № 19 «Об определении таможенной стоимости носителей информации, содержащих программное обеспечение» и от 01.03.2021  № 23 «Об утверждении Положения об определении таможенной стоимости товаров, ввозимых на таможенную территорию Евразийского экономического союза по договору аренды или финансовой аренды (лизинга)»</w:t>
            </w:r>
            <w:r w:rsidR="0013190C" w:rsidRPr="002135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B96EBE" w14:textId="77777777" w:rsidR="004D7E5D" w:rsidRPr="00213557" w:rsidRDefault="004D7E5D" w:rsidP="004D7E5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Вопросы по таможенной стоимости товаров в Постановлении Пленума Верховного суда РФ № 49.</w:t>
            </w:r>
          </w:p>
          <w:p w14:paraId="244C78A1" w14:textId="127BFA1F" w:rsidR="00A91ECA" w:rsidRPr="00213557" w:rsidRDefault="00A91ECA" w:rsidP="004D7E5D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35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Артемьев А.А. 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2135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представитель Министерства финансов РФ; доцент Финансового университета при Правительстве РФ.</w:t>
            </w:r>
          </w:p>
        </w:tc>
      </w:tr>
      <w:tr w:rsidR="00A07E49" w:rsidRPr="00213557" w14:paraId="0B1B2A97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6E1EB687" w14:textId="26D799AE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14.</w:t>
            </w:r>
            <w:r w:rsidR="00024AFE" w:rsidRPr="00213557">
              <w:rPr>
                <w:rFonts w:ascii="Times New Roman" w:hAnsi="Times New Roman"/>
                <w:sz w:val="24"/>
                <w:szCs w:val="24"/>
              </w:rPr>
              <w:t>50</w:t>
            </w:r>
            <w:r w:rsidR="001C4667" w:rsidRPr="002135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13557">
              <w:rPr>
                <w:rFonts w:ascii="Times New Roman" w:hAnsi="Times New Roman"/>
                <w:sz w:val="24"/>
                <w:szCs w:val="24"/>
              </w:rPr>
              <w:t>– 15.</w:t>
            </w:r>
            <w:r w:rsidR="00024AFE" w:rsidRPr="002135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B4D398D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4CA5AE43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07E49" w:rsidRPr="00213557" w14:paraId="485B4AE7" w14:textId="77777777" w:rsidTr="00213EE8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DAC10" w14:textId="75205759" w:rsidR="00A91ECA" w:rsidRPr="00213557" w:rsidRDefault="00024AFE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15.20</w:t>
            </w:r>
            <w:r w:rsidR="00A91ECA" w:rsidRPr="002135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1355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EA70C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Перерыв</w:t>
            </w:r>
          </w:p>
        </w:tc>
      </w:tr>
      <w:tr w:rsidR="00A07E49" w:rsidRPr="00213557" w14:paraId="4CBE3A51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71556E0F" w14:textId="214AFBED" w:rsidR="00A91ECA" w:rsidRPr="00213557" w:rsidRDefault="00024AFE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16.00</w:t>
            </w:r>
            <w:r w:rsidR="00A91ECA" w:rsidRPr="0021355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213557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ED9485A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jc w:val="center"/>
            </w:pPr>
            <w:r w:rsidRPr="00213557">
              <w:rPr>
                <w:b/>
                <w:bCs/>
                <w:sz w:val="28"/>
                <w:szCs w:val="28"/>
              </w:rPr>
              <w:t>Происхождение товаров и тарифные преференции:</w:t>
            </w:r>
          </w:p>
          <w:p w14:paraId="40B95D44" w14:textId="77777777" w:rsidR="00024AFE" w:rsidRPr="00213557" w:rsidRDefault="00024AFE" w:rsidP="00024AFE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</w:pPr>
            <w:r w:rsidRPr="00213557">
              <w:rPr>
                <w:b/>
                <w:bCs/>
                <w:sz w:val="28"/>
                <w:szCs w:val="28"/>
              </w:rPr>
              <w:t>текущее состояние и работа над предстоящими изменениями.</w:t>
            </w:r>
          </w:p>
          <w:p w14:paraId="223BD8DD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ind w:left="720" w:hanging="360"/>
              <w:jc w:val="both"/>
            </w:pPr>
            <w:r w:rsidRPr="00213557">
              <w:rPr>
                <w:rFonts w:ascii="Symbol" w:hAnsi="Symbol"/>
              </w:rPr>
              <w:t></w:t>
            </w:r>
            <w:r w:rsidRPr="00213557">
              <w:rPr>
                <w:sz w:val="14"/>
                <w:szCs w:val="14"/>
              </w:rPr>
              <w:t>         </w:t>
            </w:r>
            <w:r w:rsidRPr="00213557">
              <w:t xml:space="preserve">Происхождение товаров и статус товаров для таможенных целей. Одно </w:t>
            </w:r>
            <w:r w:rsidRPr="00213557">
              <w:lastRenderedPageBreak/>
              <w:t>и то же?</w:t>
            </w:r>
          </w:p>
          <w:p w14:paraId="6CFB63FC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ind w:left="720" w:hanging="360"/>
              <w:jc w:val="both"/>
            </w:pPr>
            <w:r w:rsidRPr="00213557">
              <w:rPr>
                <w:rFonts w:ascii="Symbol" w:hAnsi="Symbol"/>
              </w:rPr>
              <w:t></w:t>
            </w:r>
            <w:r w:rsidRPr="00213557">
              <w:rPr>
                <w:sz w:val="14"/>
                <w:szCs w:val="14"/>
              </w:rPr>
              <w:t>         </w:t>
            </w:r>
            <w:r w:rsidRPr="00213557">
              <w:t>Таможенное администрирование продукции морского промысла, добываемой в открытом море. На пути к упрощениям.</w:t>
            </w:r>
          </w:p>
          <w:p w14:paraId="0337A240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ind w:left="720" w:hanging="360"/>
              <w:jc w:val="both"/>
            </w:pPr>
            <w:r w:rsidRPr="00213557">
              <w:rPr>
                <w:rFonts w:ascii="Symbol" w:hAnsi="Symbol"/>
              </w:rPr>
              <w:t></w:t>
            </w:r>
            <w:r w:rsidRPr="00213557">
              <w:rPr>
                <w:sz w:val="14"/>
                <w:szCs w:val="14"/>
              </w:rPr>
              <w:t>         </w:t>
            </w:r>
            <w:r w:rsidRPr="00213557">
              <w:t>Непреференциальное и преференциальное происхождение товаров. Когда ждать изменений?</w:t>
            </w:r>
          </w:p>
          <w:p w14:paraId="085833B7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ind w:left="720" w:hanging="360"/>
              <w:jc w:val="both"/>
            </w:pPr>
            <w:r w:rsidRPr="00213557">
              <w:rPr>
                <w:rFonts w:ascii="Symbol" w:hAnsi="Symbol"/>
              </w:rPr>
              <w:t></w:t>
            </w:r>
            <w:r w:rsidRPr="00213557">
              <w:rPr>
                <w:sz w:val="14"/>
                <w:szCs w:val="14"/>
              </w:rPr>
              <w:t>         </w:t>
            </w:r>
            <w:r w:rsidRPr="00213557">
              <w:t>Увеличение зон свободной торговли ЕАЭС с третьими странами. С какими странами в перспективе сможем торговать беспошлинно?</w:t>
            </w:r>
          </w:p>
          <w:p w14:paraId="3AC4AB61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ind w:left="720" w:hanging="360"/>
              <w:jc w:val="both"/>
            </w:pPr>
            <w:r w:rsidRPr="00213557">
              <w:rPr>
                <w:rFonts w:ascii="Symbol" w:hAnsi="Symbol"/>
              </w:rPr>
              <w:t></w:t>
            </w:r>
            <w:r w:rsidRPr="00213557">
              <w:rPr>
                <w:sz w:val="14"/>
                <w:szCs w:val="14"/>
              </w:rPr>
              <w:t>         </w:t>
            </w:r>
            <w:r w:rsidRPr="00213557">
              <w:t>Совершенствование механизмов подтверждения преференциального происхождения товаров таможенным органам. Как обстоят дела с внедрением института уполномоченных экспортеров в ЕАЭС?</w:t>
            </w:r>
          </w:p>
          <w:p w14:paraId="25EF860B" w14:textId="77777777" w:rsidR="00024AFE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ind w:left="720" w:hanging="360"/>
              <w:jc w:val="both"/>
            </w:pPr>
            <w:r w:rsidRPr="00213557">
              <w:rPr>
                <w:rFonts w:ascii="Symbol" w:hAnsi="Symbol"/>
              </w:rPr>
              <w:t></w:t>
            </w:r>
            <w:r w:rsidRPr="00213557">
              <w:rPr>
                <w:sz w:val="14"/>
                <w:szCs w:val="14"/>
              </w:rPr>
              <w:t>         </w:t>
            </w:r>
            <w:r w:rsidRPr="00213557">
              <w:t>Восстановление тарифных преференций. Что важно знать участникам ВЭД?</w:t>
            </w:r>
          </w:p>
          <w:p w14:paraId="78B82DB4" w14:textId="3C3E2135" w:rsidR="00A91ECA" w:rsidRPr="00213557" w:rsidRDefault="00024AFE" w:rsidP="00024AFE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13557">
              <w:rPr>
                <w:b/>
                <w:bCs/>
                <w:i/>
              </w:rPr>
              <w:t>Павлюченков К.А.</w:t>
            </w:r>
            <w:r w:rsidRPr="00213557">
              <w:rPr>
                <w:bCs/>
                <w:i/>
              </w:rPr>
              <w:t>– советник отдела таможенных платежей, таможенной стоимости   и   страны   происхождения   Департамента   таможенного законодательства   и   правоприменительной   практики   Евразийской экономической комиссии.</w:t>
            </w:r>
          </w:p>
        </w:tc>
      </w:tr>
      <w:tr w:rsidR="00A07E49" w:rsidRPr="00213557" w14:paraId="59ACA170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38D00CDE" w14:textId="03E81816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  <w:r w:rsidR="00024AFE" w:rsidRPr="00213557">
              <w:rPr>
                <w:rFonts w:ascii="Times New Roman" w:hAnsi="Times New Roman"/>
                <w:sz w:val="24"/>
                <w:szCs w:val="24"/>
              </w:rPr>
              <w:t>45</w:t>
            </w:r>
            <w:r w:rsidRPr="002135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24AFE" w:rsidRPr="0021355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08A7984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7B6480C3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2B185F63" w14:textId="77777777" w:rsidR="00A91ECA" w:rsidRPr="00213557" w:rsidRDefault="00A91ECA" w:rsidP="00A91ECA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14:paraId="61102158" w14:textId="77777777" w:rsidR="00A91ECA" w:rsidRPr="00213557" w:rsidRDefault="00A91ECA" w:rsidP="00A91E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2DC18A4" w14:textId="77777777" w:rsidR="00A91ECA" w:rsidRPr="00213557" w:rsidRDefault="00A91ECA" w:rsidP="00A91ECA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3557">
        <w:rPr>
          <w:rFonts w:ascii="Times New Roman" w:hAnsi="Times New Roman"/>
          <w:b/>
          <w:sz w:val="32"/>
          <w:szCs w:val="32"/>
        </w:rPr>
        <w:t>Модуль 3 (08 декабря, 2021, время мск)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A91ECA" w:rsidRPr="00213557" w14:paraId="38CAA8B2" w14:textId="77777777" w:rsidTr="00213EE8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AA2618" w14:textId="77777777" w:rsidR="00A91ECA" w:rsidRPr="00213557" w:rsidRDefault="002D5E59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09.00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09.40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A60" w14:textId="77777777" w:rsidR="00A91ECA" w:rsidRPr="00213557" w:rsidRDefault="00A91ECA" w:rsidP="00213EE8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Основные практические аспекты информационного взаимодействия участников ВЭД с центрами электронного декларирования и таможенными постами фактического контроля в условиях развития «цифрового сознания» бизнес-сообщества.</w:t>
            </w:r>
          </w:p>
          <w:p w14:paraId="6B5AA5E6" w14:textId="77777777" w:rsidR="00A91ECA" w:rsidRPr="00213557" w:rsidRDefault="00A91ECA" w:rsidP="00A91ECA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изменения в таможенном законодательстве в части применения информационных технологий.</w:t>
            </w:r>
          </w:p>
          <w:p w14:paraId="0F9B6085" w14:textId="77777777" w:rsidR="00A91ECA" w:rsidRPr="00213557" w:rsidRDefault="00A91ECA" w:rsidP="00A91ECA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декларирования товаров и проведения фактического контроля товаров, перемещаемых различными видами транспорта, с учетом возможностей автоматизации отдельных таможенных операций.</w:t>
            </w:r>
          </w:p>
          <w:p w14:paraId="56D27A73" w14:textId="77777777" w:rsidR="00A91ECA" w:rsidRPr="00213557" w:rsidRDefault="00A91ECA" w:rsidP="00A91ECA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Типовые ситуации возникновения затруднений среди участников ВЭД при осуществлении информационного обмена с ЦЭД и ТПФК.</w:t>
            </w:r>
          </w:p>
          <w:p w14:paraId="63B06717" w14:textId="77777777" w:rsidR="00A91ECA" w:rsidRPr="00213557" w:rsidRDefault="00A91ECA" w:rsidP="00A91ECA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участникам ВЭД при декларировании товаров, направленные на снижение вероятности дополнительных проверок со стороны таможенных органов и сокращение общих сроков оформления товаров.</w:t>
            </w:r>
          </w:p>
          <w:p w14:paraId="016FCAFB" w14:textId="77777777" w:rsidR="00A91ECA" w:rsidRPr="00213557" w:rsidRDefault="00A91ECA" w:rsidP="00213EE8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i/>
                <w:iCs/>
                <w:shd w:val="clear" w:color="auto" w:fill="FFFFFF"/>
              </w:rPr>
            </w:pPr>
            <w:r w:rsidRPr="00213557">
              <w:rPr>
                <w:b/>
                <w:i/>
              </w:rPr>
              <w:t>Шкленский С.В.</w:t>
            </w:r>
            <w:r w:rsidRPr="00213557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контроляСеверо-Западного таможенного управления.</w:t>
            </w:r>
          </w:p>
        </w:tc>
      </w:tr>
      <w:tr w:rsidR="00A91ECA" w:rsidRPr="00213557" w14:paraId="03D78EDF" w14:textId="77777777" w:rsidTr="00213EE8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68044" w14:textId="77777777" w:rsidR="00A91ECA" w:rsidRPr="00213557" w:rsidRDefault="002D5E59" w:rsidP="002D5E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09.40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092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4613E225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91ECA" w:rsidRPr="00213557" w14:paraId="5D8E7DE3" w14:textId="77777777" w:rsidTr="00213EE8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A3ED" w14:textId="77777777" w:rsidR="00A91ECA" w:rsidRPr="00213557" w:rsidRDefault="002D5E59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10.00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0.40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DA9" w14:textId="77777777" w:rsidR="00A91ECA" w:rsidRPr="00213557" w:rsidRDefault="00A91ECA" w:rsidP="00213EE8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Об основных тенденциях в организации информационно-</w:t>
            </w:r>
            <w:r w:rsidRPr="002135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коммуникативных технологий по типу B2B и B2G во внешнеэкономической деятельности.</w:t>
            </w:r>
          </w:p>
          <w:p w14:paraId="3B2C2242" w14:textId="77777777" w:rsidR="00A91ECA" w:rsidRPr="00213557" w:rsidRDefault="00A91ECA" w:rsidP="00A91ECA">
            <w:pPr>
              <w:numPr>
                <w:ilvl w:val="0"/>
                <w:numId w:val="8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общемировые тенденции в развитии информационных технологий в области внешней торговли.</w:t>
            </w:r>
          </w:p>
          <w:p w14:paraId="272B0D2D" w14:textId="77777777" w:rsidR="00A91ECA" w:rsidRPr="00213557" w:rsidRDefault="00A91ECA" w:rsidP="00A91ECA">
            <w:pPr>
              <w:numPr>
                <w:ilvl w:val="0"/>
                <w:numId w:val="8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факторы, сдерживающие полноценное развитие электронного документооборота в сфере ВЭД в России при организации внешнеторговых перевозок различными видами транспорта.</w:t>
            </w:r>
          </w:p>
          <w:p w14:paraId="39A550F6" w14:textId="77777777" w:rsidR="00A91ECA" w:rsidRPr="00213557" w:rsidRDefault="00A91ECA" w:rsidP="00A91ECA">
            <w:pPr>
              <w:numPr>
                <w:ilvl w:val="0"/>
                <w:numId w:val="8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систематизации сведений и информационных сообщений в ходе существующих систем коммуникации участников ВЭД и государственных органов.</w:t>
            </w:r>
          </w:p>
          <w:p w14:paraId="161FD080" w14:textId="77777777" w:rsidR="00A91ECA" w:rsidRPr="00213557" w:rsidRDefault="00A91ECA" w:rsidP="00213EE8">
            <w:pPr>
              <w:pStyle w:val="a9"/>
              <w:shd w:val="clear" w:color="auto" w:fill="FFFFFF"/>
              <w:spacing w:before="60" w:beforeAutospacing="0" w:after="60" w:afterAutospacing="0"/>
              <w:jc w:val="both"/>
              <w:rPr>
                <w:b/>
              </w:rPr>
            </w:pPr>
            <w:r w:rsidRPr="00213557">
              <w:rPr>
                <w:b/>
                <w:i/>
              </w:rPr>
              <w:t>Шкленский С.В.</w:t>
            </w:r>
            <w:r w:rsidRPr="00213557">
              <w:rPr>
                <w:i/>
              </w:rPr>
              <w:t> – независимый эксперт по вопросам информационных таможенных технологий, до 2021 г. - начальник отдела по внедрению перспективных таможенных технологий службы организации таможенного контроляСеверо-Западного таможенного управления.</w:t>
            </w:r>
          </w:p>
        </w:tc>
      </w:tr>
      <w:tr w:rsidR="00A91ECA" w:rsidRPr="00213557" w14:paraId="1BA0B579" w14:textId="77777777" w:rsidTr="00213EE8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8060EE" w14:textId="77777777" w:rsidR="00A91ECA" w:rsidRPr="00213557" w:rsidRDefault="002D5E59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lastRenderedPageBreak/>
              <w:t>10.40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0C7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287495B9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91ECA" w:rsidRPr="00213557" w14:paraId="218813B0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7F5E9F92" w14:textId="77777777" w:rsidR="00A91ECA" w:rsidRPr="00213557" w:rsidRDefault="002D5E59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11.00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1.20</w:t>
            </w:r>
          </w:p>
        </w:tc>
        <w:tc>
          <w:tcPr>
            <w:tcW w:w="8505" w:type="dxa"/>
            <w:shd w:val="clear" w:color="auto" w:fill="D9D9D9"/>
          </w:tcPr>
          <w:p w14:paraId="6C1CA237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91ECA" w:rsidRPr="00213557" w14:paraId="2094B9E9" w14:textId="77777777" w:rsidTr="00213EE8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81C94" w14:textId="77777777" w:rsidR="00A91ECA" w:rsidRPr="00213557" w:rsidRDefault="002D5E59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11.20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B35" w14:textId="77777777" w:rsidR="00A91ECA" w:rsidRPr="00213557" w:rsidRDefault="00A91ECA" w:rsidP="00213EE8">
            <w:pPr>
              <w:pStyle w:val="a3"/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13557">
              <w:rPr>
                <w:b/>
                <w:bCs/>
                <w:sz w:val="28"/>
                <w:szCs w:val="28"/>
              </w:rPr>
              <w:t>Таможня уведомила о проведении таможенной проверки: практические рекомендации по защите интересов декларанта.</w:t>
            </w:r>
          </w:p>
          <w:p w14:paraId="1BDB0A65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Достаточен ли срок на предоставление запрошенных документов? </w:t>
            </w:r>
          </w:p>
          <w:p w14:paraId="3D2A8BE0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Правила исчисления сроков получения запросов и ответов, решений и уведомлений.</w:t>
            </w:r>
          </w:p>
          <w:p w14:paraId="2444D948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Все ли запрошенные документы нужно предоставлять?</w:t>
            </w:r>
          </w:p>
          <w:p w14:paraId="00506EE2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Нужно ли в ответе на запрос приводить доводы в свою защиту?</w:t>
            </w:r>
          </w:p>
          <w:p w14:paraId="28BA91C5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Обязан ли иностранный поставщик отвечать на запрос таможни?</w:t>
            </w:r>
          </w:p>
          <w:p w14:paraId="1876F8DA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Стратегия дачи объяснений.</w:t>
            </w:r>
          </w:p>
          <w:p w14:paraId="27359398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Зачем подавать Возражения на Акт проверки?</w:t>
            </w:r>
          </w:p>
          <w:p w14:paraId="4D6C043C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Что делать, если ни Акт, ни Решение не содержат внятного обоснования?</w:t>
            </w:r>
          </w:p>
          <w:p w14:paraId="43EB5FB7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Ведомственное обжалование эффективно?</w:t>
            </w:r>
          </w:p>
          <w:p w14:paraId="37C3DB3A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Правила подсудности.</w:t>
            </w:r>
          </w:p>
          <w:p w14:paraId="6FBE218D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Можно ли объединить все обжалуемые решения в одно дело?</w:t>
            </w:r>
          </w:p>
          <w:p w14:paraId="6C1A041F" w14:textId="77777777" w:rsidR="00A91ECA" w:rsidRPr="00213557" w:rsidRDefault="00A91ECA" w:rsidP="00A91EC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60" w:beforeAutospacing="0" w:after="60" w:afterAutospacing="0"/>
              <w:jc w:val="both"/>
              <w:rPr>
                <w:bCs/>
              </w:rPr>
            </w:pPr>
            <w:r w:rsidRPr="00213557">
              <w:rPr>
                <w:bCs/>
              </w:rPr>
              <w:t>Стоит ли ходатайствовать о применении обеспечительных мер?</w:t>
            </w:r>
          </w:p>
          <w:p w14:paraId="3D1D1AAA" w14:textId="77777777" w:rsidR="00A91ECA" w:rsidRPr="00213557" w:rsidRDefault="00A91ECA" w:rsidP="00213EE8">
            <w:pPr>
              <w:spacing w:before="60" w:after="6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135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Косов А.А.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21355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 партнер, глава практики таможенного права и внешнеторгового регулирования Юридической компании «Пепеляев Групп».</w:t>
            </w:r>
          </w:p>
        </w:tc>
      </w:tr>
      <w:tr w:rsidR="00A91ECA" w:rsidRPr="00213557" w14:paraId="62E6F20B" w14:textId="77777777" w:rsidTr="00213EE8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ACE46F" w14:textId="77777777" w:rsidR="00A91ECA" w:rsidRPr="00213557" w:rsidRDefault="002D5E59" w:rsidP="002D5E59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12.00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2.20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00E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3A0EBFF5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A91ECA" w:rsidRPr="00213557" w14:paraId="7F1139F3" w14:textId="77777777" w:rsidTr="00213EE8">
        <w:trPr>
          <w:trHeight w:val="274"/>
        </w:trPr>
        <w:tc>
          <w:tcPr>
            <w:tcW w:w="1701" w:type="dxa"/>
            <w:shd w:val="clear" w:color="auto" w:fill="D9D9D9"/>
          </w:tcPr>
          <w:p w14:paraId="50E07A3E" w14:textId="77777777" w:rsidR="00A91ECA" w:rsidRPr="00213557" w:rsidRDefault="002D5E59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12.20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8C16BB" w:rsidRPr="00213557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8505" w:type="dxa"/>
            <w:shd w:val="clear" w:color="auto" w:fill="D9D9D9"/>
          </w:tcPr>
          <w:p w14:paraId="4EBE8C17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5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A91ECA" w:rsidRPr="00213557" w14:paraId="24F009DD" w14:textId="77777777" w:rsidTr="00213EE8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9192F" w14:textId="77777777" w:rsidR="00A91ECA" w:rsidRPr="00213557" w:rsidRDefault="008C16BB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t>14.00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213557">
              <w:rPr>
                <w:rFonts w:ascii="Times New Roman" w:hAnsi="Times New Roman"/>
                <w:sz w:val="26"/>
                <w:szCs w:val="26"/>
              </w:rPr>
              <w:t>4.40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E4B" w14:textId="77777777" w:rsidR="00A91ECA" w:rsidRPr="00213557" w:rsidRDefault="00A91ECA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557">
              <w:rPr>
                <w:rFonts w:ascii="Times New Roman" w:hAnsi="Times New Roman"/>
                <w:b/>
                <w:sz w:val="28"/>
                <w:szCs w:val="28"/>
              </w:rPr>
              <w:t>Отдельные вопросы уплаты таможенных платежей.</w:t>
            </w:r>
          </w:p>
          <w:p w14:paraId="3FC93481" w14:textId="1F3C49C7" w:rsidR="00A91ECA" w:rsidRPr="00213557" w:rsidRDefault="004D7E5D" w:rsidP="00213EE8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355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Бричева Е.Н. 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213557">
              <w:rPr>
                <w:rFonts w:ascii="Times New Roman" w:hAnsi="Times New Roman"/>
                <w:sz w:val="24"/>
                <w:szCs w:val="24"/>
              </w:rPr>
              <w:t>  </w:t>
            </w:r>
            <w:r w:rsidRPr="00213557">
              <w:rPr>
                <w:rFonts w:ascii="Times New Roman" w:hAnsi="Times New Roman"/>
                <w:bCs/>
                <w:i/>
                <w:sz w:val="24"/>
                <w:szCs w:val="24"/>
              </w:rPr>
              <w:t>начальник отдела таможенных платежей, таможенной стоимости   и   страны   происхождения   Департамента таможенного законодательства и правоприменительной практики Евразийской экономической комиссии.</w:t>
            </w:r>
          </w:p>
        </w:tc>
      </w:tr>
      <w:tr w:rsidR="00A91ECA" w:rsidRPr="00213557" w14:paraId="6236BA1C" w14:textId="77777777" w:rsidTr="00213EE8">
        <w:trPr>
          <w:trHeight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72453" w14:textId="77777777" w:rsidR="00A91ECA" w:rsidRPr="00213557" w:rsidRDefault="002D5E59" w:rsidP="00213EE8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557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8C16BB" w:rsidRPr="00213557">
              <w:rPr>
                <w:rFonts w:ascii="Times New Roman" w:hAnsi="Times New Roman"/>
                <w:sz w:val="26"/>
                <w:szCs w:val="26"/>
              </w:rPr>
              <w:t>4.40</w:t>
            </w:r>
            <w:r w:rsidR="00A91ECA" w:rsidRPr="00213557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8C16BB" w:rsidRPr="00213557">
              <w:rPr>
                <w:rFonts w:ascii="Times New Roman" w:hAnsi="Times New Roman"/>
                <w:sz w:val="26"/>
                <w:szCs w:val="26"/>
              </w:rPr>
              <w:t>5.00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11B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72A94130" w14:textId="77777777" w:rsidR="00A91ECA" w:rsidRPr="00213557" w:rsidRDefault="00A91ECA" w:rsidP="00213EE8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5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688E9EC2" w14:textId="77777777" w:rsidR="00A91ECA" w:rsidRPr="00213557" w:rsidRDefault="00A91ECA" w:rsidP="00A91ECA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14:paraId="7A73F722" w14:textId="77777777" w:rsidR="00D7310B" w:rsidRDefault="00A91ECA" w:rsidP="001E5784">
      <w:pPr>
        <w:spacing w:before="60" w:after="60" w:line="240" w:lineRule="auto"/>
      </w:pPr>
      <w:r w:rsidRPr="00213557">
        <w:rPr>
          <w:rFonts w:ascii="Times New Roman" w:hAnsi="Times New Roman"/>
          <w:i/>
          <w:sz w:val="20"/>
          <w:szCs w:val="20"/>
        </w:rPr>
        <w:t>*программа может быть изменена</w:t>
      </w:r>
      <w:r w:rsidRPr="00621027">
        <w:rPr>
          <w:rFonts w:ascii="Times New Roman" w:hAnsi="Times New Roman"/>
          <w:i/>
          <w:sz w:val="20"/>
          <w:szCs w:val="20"/>
        </w:rPr>
        <w:t xml:space="preserve"> и дополнена</w:t>
      </w:r>
      <w:r w:rsidRPr="00621027">
        <w:rPr>
          <w:rFonts w:ascii="Times New Roman" w:hAnsi="Times New Roman"/>
          <w:b/>
          <w:sz w:val="20"/>
          <w:szCs w:val="20"/>
        </w:rPr>
        <w:t>.</w:t>
      </w:r>
    </w:p>
    <w:sectPr w:rsidR="00D7310B" w:rsidSect="00D3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831"/>
    <w:multiLevelType w:val="hybridMultilevel"/>
    <w:tmpl w:val="8EDA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48F"/>
    <w:multiLevelType w:val="multilevel"/>
    <w:tmpl w:val="71EA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112A6"/>
    <w:multiLevelType w:val="multilevel"/>
    <w:tmpl w:val="397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84366"/>
    <w:multiLevelType w:val="multilevel"/>
    <w:tmpl w:val="B9B2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52CDF"/>
    <w:multiLevelType w:val="multilevel"/>
    <w:tmpl w:val="2D8C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25540"/>
    <w:multiLevelType w:val="multilevel"/>
    <w:tmpl w:val="747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866AC"/>
    <w:multiLevelType w:val="multilevel"/>
    <w:tmpl w:val="43D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B0AD0"/>
    <w:multiLevelType w:val="hybridMultilevel"/>
    <w:tmpl w:val="D8FA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67B25"/>
    <w:multiLevelType w:val="multilevel"/>
    <w:tmpl w:val="3C40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74F0F"/>
    <w:multiLevelType w:val="hybridMultilevel"/>
    <w:tmpl w:val="70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CA"/>
    <w:rsid w:val="00024AFE"/>
    <w:rsid w:val="00071893"/>
    <w:rsid w:val="000D704B"/>
    <w:rsid w:val="00102148"/>
    <w:rsid w:val="0013190C"/>
    <w:rsid w:val="001A330F"/>
    <w:rsid w:val="001C4667"/>
    <w:rsid w:val="001E5784"/>
    <w:rsid w:val="00213557"/>
    <w:rsid w:val="002472C4"/>
    <w:rsid w:val="002D5E59"/>
    <w:rsid w:val="00364AB6"/>
    <w:rsid w:val="00393AF6"/>
    <w:rsid w:val="003F0927"/>
    <w:rsid w:val="004D7E5D"/>
    <w:rsid w:val="00611240"/>
    <w:rsid w:val="00612AE7"/>
    <w:rsid w:val="00697097"/>
    <w:rsid w:val="007C3C95"/>
    <w:rsid w:val="008C16BB"/>
    <w:rsid w:val="008C28C0"/>
    <w:rsid w:val="00907FBA"/>
    <w:rsid w:val="009F4663"/>
    <w:rsid w:val="00A07E49"/>
    <w:rsid w:val="00A91ECA"/>
    <w:rsid w:val="00AA5D63"/>
    <w:rsid w:val="00B1579B"/>
    <w:rsid w:val="00B23384"/>
    <w:rsid w:val="00C76583"/>
    <w:rsid w:val="00CE77F0"/>
    <w:rsid w:val="00D7310B"/>
    <w:rsid w:val="00D86B11"/>
    <w:rsid w:val="00DD5FDD"/>
    <w:rsid w:val="00E94E3B"/>
    <w:rsid w:val="00EA6475"/>
    <w:rsid w:val="00F4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5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91E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91E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APBodyText">
    <w:name w:val="DLAP Body Text"/>
    <w:rsid w:val="00A91ECA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ru-RU"/>
    </w:rPr>
  </w:style>
  <w:style w:type="paragraph" w:customStyle="1" w:styleId="228bf8a64b8551e1msonormal">
    <w:name w:val="228bf8a64b8551e1msonormal"/>
    <w:basedOn w:val="a"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ECA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D7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91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91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91E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91E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APBodyText">
    <w:name w:val="DLAP Body Text"/>
    <w:rsid w:val="00A91ECA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ru-RU"/>
    </w:rPr>
  </w:style>
  <w:style w:type="paragraph" w:customStyle="1" w:styleId="228bf8a64b8551e1msonormal">
    <w:name w:val="228bf8a64b8551e1msonormal"/>
    <w:basedOn w:val="a"/>
    <w:rsid w:val="00A9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ECA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D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rgroup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info@asergroup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B15D1-CA8F-4E96-9189-02A23BB7A43D}"/>
</file>

<file path=customXml/itemProps2.xml><?xml version="1.0" encoding="utf-8"?>
<ds:datastoreItem xmlns:ds="http://schemas.openxmlformats.org/officeDocument/2006/customXml" ds:itemID="{B939D3FF-C93C-4A28-8AB9-4E5C1B853C3B}"/>
</file>

<file path=customXml/itemProps3.xml><?xml version="1.0" encoding="utf-8"?>
<ds:datastoreItem xmlns:ds="http://schemas.openxmlformats.org/officeDocument/2006/customXml" ds:itemID="{0309273C-7772-4B52-A673-3747C7CB8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Дудкина Татьяна Алексеевна</cp:lastModifiedBy>
  <cp:revision>2</cp:revision>
  <dcterms:created xsi:type="dcterms:W3CDTF">2021-11-23T08:23:00Z</dcterms:created>
  <dcterms:modified xsi:type="dcterms:W3CDTF">2021-11-23T08:23:00Z</dcterms:modified>
</cp:coreProperties>
</file>