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809"/>
        <w:gridCol w:w="9214"/>
      </w:tblGrid>
      <w:tr w:rsidR="001D04CE" w:rsidTr="00822DB7">
        <w:trPr>
          <w:trHeight w:val="1558"/>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bookmarkStart w:id="0" w:name="_GoBack"/>
            <w:bookmarkEnd w:id="0"/>
            <w:r w:rsidRPr="00641F29">
              <w:rPr>
                <w:b/>
                <w:noProof/>
                <w:color w:val="000000" w:themeColor="text1"/>
                <w:sz w:val="2"/>
                <w:szCs w:val="2"/>
                <w:lang w:eastAsia="ru-RU"/>
              </w:rPr>
              <w:drawing>
                <wp:anchor distT="0" distB="0" distL="114300" distR="114300" simplePos="0" relativeHeight="251659264" behindDoc="0" locked="0" layoutInCell="1" allowOverlap="1" wp14:anchorId="5E546C53" wp14:editId="67CC98F2">
                  <wp:simplePos x="0" y="0"/>
                  <wp:positionH relativeFrom="column">
                    <wp:posOffset>-13970</wp:posOffset>
                  </wp:positionH>
                  <wp:positionV relativeFrom="paragraph">
                    <wp:posOffset>-942975</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A967B8" w:rsidRDefault="00A967B8" w:rsidP="00A967B8">
            <w:pPr>
              <w:tabs>
                <w:tab w:val="left" w:pos="450"/>
              </w:tabs>
              <w:spacing w:line="240" w:lineRule="exact"/>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color w:val="000000" w:themeColor="text1"/>
                <w:sz w:val="23"/>
                <w:szCs w:val="23"/>
                <w:lang w:eastAsia="ru-RU"/>
              </w:rPr>
              <w:t xml:space="preserve">        </w:t>
            </w:r>
            <w:r w:rsidR="001D04CE" w:rsidRPr="00A967B8">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lastRenderedPageBreak/>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822DB7" w:rsidRPr="00822DB7" w:rsidRDefault="001D04CE" w:rsidP="00822DB7">
            <w:pPr>
              <w:jc w:val="center"/>
              <w:rPr>
                <w:rFonts w:ascii="Times New Roman" w:eastAsia="Times New Roman" w:hAnsi="Times New Roman" w:cs="Times New Roman"/>
                <w:b/>
                <w:bCs/>
                <w:color w:val="000000" w:themeColor="text1"/>
                <w:sz w:val="6"/>
                <w:szCs w:val="6"/>
                <w:lang w:eastAsia="ru-RU"/>
              </w:rPr>
            </w:pPr>
            <w:r w:rsidRPr="00822DB7">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822DB7">
              <w:rPr>
                <w:rFonts w:ascii="Times New Roman" w:eastAsia="Times New Roman" w:hAnsi="Times New Roman" w:cs="Times New Roman"/>
                <w:color w:val="000000" w:themeColor="text1"/>
                <w:sz w:val="23"/>
                <w:szCs w:val="23"/>
                <w:lang w:eastAsia="ru-RU"/>
              </w:rPr>
              <w:t xml:space="preserve"> </w:t>
            </w:r>
            <w:r w:rsidRPr="00822DB7">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822DB7" w:rsidRPr="00A967B8" w:rsidRDefault="00822DB7" w:rsidP="00822DB7">
            <w:pPr>
              <w:rPr>
                <w:rFonts w:ascii="Times New Roman" w:eastAsia="Times New Roman" w:hAnsi="Times New Roman" w:cs="Times New Roman"/>
                <w:b/>
                <w:bCs/>
                <w:color w:val="000000" w:themeColor="text1"/>
                <w:sz w:val="6"/>
                <w:szCs w:val="6"/>
                <w:lang w:eastAsia="ru-RU"/>
              </w:rPr>
            </w:pPr>
          </w:p>
          <w:p w:rsidR="001D04CE" w:rsidRPr="00822DB7" w:rsidRDefault="00B70545" w:rsidP="00822DB7">
            <w:pPr>
              <w:jc w:val="right"/>
              <w:rPr>
                <w:rFonts w:ascii="Times New Roman" w:hAnsi="Times New Roman" w:cs="Times New Roman"/>
                <w:b/>
                <w:sz w:val="23"/>
                <w:szCs w:val="23"/>
              </w:rPr>
            </w:pPr>
            <w:r w:rsidRPr="00822DB7">
              <w:rPr>
                <w:rFonts w:ascii="Times New Roman" w:hAnsi="Times New Roman" w:cs="Times New Roman"/>
                <w:b/>
                <w:sz w:val="23"/>
                <w:szCs w:val="23"/>
              </w:rPr>
              <w:t>Комитет гражданской защиты</w:t>
            </w:r>
            <w:r w:rsidR="00822DB7" w:rsidRPr="00822DB7">
              <w:rPr>
                <w:rFonts w:ascii="Times New Roman" w:hAnsi="Times New Roman" w:cs="Times New Roman"/>
                <w:b/>
                <w:sz w:val="23"/>
                <w:szCs w:val="23"/>
              </w:rPr>
              <w:t xml:space="preserve"> </w:t>
            </w:r>
            <w:r w:rsidR="001D04CE" w:rsidRPr="00822DB7">
              <w:rPr>
                <w:rFonts w:ascii="Times New Roman" w:hAnsi="Times New Roman" w:cs="Times New Roman"/>
                <w:b/>
                <w:sz w:val="23"/>
                <w:szCs w:val="23"/>
              </w:rPr>
              <w:t>населения администрации Волгоград</w:t>
            </w:r>
          </w:p>
          <w:p w:rsidR="00822DB7" w:rsidRPr="00822DB7" w:rsidRDefault="00822DB7" w:rsidP="00B70545">
            <w:pPr>
              <w:spacing w:line="240" w:lineRule="exact"/>
              <w:jc w:val="right"/>
              <w:rPr>
                <w:rFonts w:ascii="Times New Roman" w:hAnsi="Times New Roman" w:cs="Times New Roman"/>
                <w:b/>
                <w:sz w:val="23"/>
                <w:szCs w:val="23"/>
              </w:rPr>
            </w:pPr>
            <w:r w:rsidRPr="00822DB7">
              <w:rPr>
                <w:rFonts w:ascii="Times New Roman" w:hAnsi="Times New Roman" w:cs="Times New Roman"/>
                <w:b/>
                <w:color w:val="000000" w:themeColor="text1"/>
                <w:sz w:val="23"/>
                <w:szCs w:val="23"/>
              </w:rPr>
              <w:t>Отдел надзорной деятельности и профилактической работы по г. Волгограду</w:t>
            </w:r>
          </w:p>
        </w:tc>
      </w:tr>
    </w:tbl>
    <w:p w:rsidR="001F7346" w:rsidRPr="00B70545" w:rsidRDefault="001F7346" w:rsidP="001D04CE">
      <w:pPr>
        <w:spacing w:after="60"/>
        <w:rPr>
          <w:rFonts w:ascii="Times New Roman" w:hAnsi="Times New Roman" w:cs="Times New Roman"/>
          <w:sz w:val="2"/>
          <w:szCs w:val="2"/>
        </w:rPr>
      </w:pPr>
    </w:p>
    <w:sectPr w:rsidR="001F7346" w:rsidRPr="00B70545" w:rsidSect="00822DB7">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00E"/>
    <w:multiLevelType w:val="hybridMultilevel"/>
    <w:tmpl w:val="CE44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B"/>
    <w:rsid w:val="000B1F3B"/>
    <w:rsid w:val="001D04CE"/>
    <w:rsid w:val="001F7346"/>
    <w:rsid w:val="00200712"/>
    <w:rsid w:val="00273FF6"/>
    <w:rsid w:val="00351316"/>
    <w:rsid w:val="007B44CF"/>
    <w:rsid w:val="00822DB7"/>
    <w:rsid w:val="009C2F6B"/>
    <w:rsid w:val="00A967B8"/>
    <w:rsid w:val="00AD0F9A"/>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FC15E-D3FB-408E-A0A7-362855CA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82D9E-9DD6-4A86-BB3C-4F9F04F543C9}"/>
</file>

<file path=customXml/itemProps2.xml><?xml version="1.0" encoding="utf-8"?>
<ds:datastoreItem xmlns:ds="http://schemas.openxmlformats.org/officeDocument/2006/customXml" ds:itemID="{4476A18A-E8EF-412B-9C2F-C879337FE88A}"/>
</file>

<file path=customXml/itemProps3.xml><?xml version="1.0" encoding="utf-8"?>
<ds:datastoreItem xmlns:ds="http://schemas.openxmlformats.org/officeDocument/2006/customXml" ds:itemID="{46BD80C4-56DA-4591-A786-5983A7B63CCD}"/>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Комиссия по делам несовершеннолетних</cp:lastModifiedBy>
  <cp:revision>2</cp:revision>
  <cp:lastPrinted>2019-02-05T11:04:00Z</cp:lastPrinted>
  <dcterms:created xsi:type="dcterms:W3CDTF">2025-01-14T12:14:00Z</dcterms:created>
  <dcterms:modified xsi:type="dcterms:W3CDTF">2025-01-14T12:14:00Z</dcterms:modified>
</cp:coreProperties>
</file>