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99" w:rsidRPr="00947C99" w:rsidRDefault="00947C99" w:rsidP="00787A60">
      <w:pPr>
        <w:pStyle w:val="a5"/>
        <w:spacing w:line="240" w:lineRule="auto"/>
        <w:ind w:left="1620"/>
        <w:jc w:val="center"/>
        <w:outlineLvl w:val="0"/>
        <w:rPr>
          <w:b/>
        </w:rPr>
      </w:pPr>
      <w:r w:rsidRPr="00947C99">
        <w:rPr>
          <w:b/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7C99">
        <w:rPr>
          <w:b/>
        </w:rPr>
        <w:t>ПРЕСС-СЛУЖБА</w:t>
      </w:r>
    </w:p>
    <w:p w:rsidR="00947C99" w:rsidRPr="00947C99" w:rsidRDefault="00947C99" w:rsidP="00787A60">
      <w:pPr>
        <w:pStyle w:val="a5"/>
        <w:spacing w:line="240" w:lineRule="auto"/>
        <w:ind w:left="1620"/>
        <w:jc w:val="center"/>
        <w:rPr>
          <w:b/>
        </w:rPr>
      </w:pPr>
      <w:r w:rsidRPr="00947C99">
        <w:rPr>
          <w:b/>
        </w:rPr>
        <w:t>ГОСУДАРСТВЕННОГО УЧРЕЖДЕНИЯ – ОТДЕЛЕНИЯ ПЕНСИОННОГО ФОНДА РОССИЙСКОЙ ФЕДЕРАЦИИ</w:t>
      </w:r>
    </w:p>
    <w:p w:rsidR="00947C99" w:rsidRPr="00947C99" w:rsidRDefault="00947C99" w:rsidP="00787A60">
      <w:pPr>
        <w:pStyle w:val="a5"/>
        <w:spacing w:line="240" w:lineRule="auto"/>
        <w:ind w:left="1620"/>
        <w:jc w:val="center"/>
        <w:outlineLvl w:val="0"/>
        <w:rPr>
          <w:b/>
        </w:rPr>
      </w:pPr>
      <w:r w:rsidRPr="00947C99">
        <w:rPr>
          <w:b/>
        </w:rPr>
        <w:t>ПО ВОЛГОГРАДСКОЙ ОБЛАСТИ</w:t>
      </w:r>
    </w:p>
    <w:p w:rsidR="00947C99" w:rsidRDefault="00947C99" w:rsidP="00787A60">
      <w:pPr>
        <w:pStyle w:val="aa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 xml:space="preserve">. Волгоград, ул. </w:t>
      </w:r>
      <w:proofErr w:type="spellStart"/>
      <w:r>
        <w:rPr>
          <w:b/>
          <w:sz w:val="20"/>
          <w:szCs w:val="20"/>
        </w:rPr>
        <w:t>Рабоче-Крестьянская</w:t>
      </w:r>
      <w:proofErr w:type="spellEnd"/>
      <w:r>
        <w:rPr>
          <w:b/>
          <w:sz w:val="20"/>
          <w:szCs w:val="20"/>
        </w:rPr>
        <w:t>, 16</w:t>
      </w:r>
    </w:p>
    <w:p w:rsidR="00947C99" w:rsidRDefault="00947C99" w:rsidP="00787A60">
      <w:pPr>
        <w:pStyle w:val="aa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947C99" w:rsidRDefault="00947C99" w:rsidP="00947C99">
      <w:pPr>
        <w:pStyle w:val="aa"/>
        <w:ind w:left="1620"/>
        <w:jc w:val="center"/>
        <w:rPr>
          <w:b/>
          <w:bCs/>
          <w:sz w:val="28"/>
        </w:rPr>
      </w:pPr>
      <w:r w:rsidRPr="00EB589B">
        <w:rPr>
          <w:lang w:eastAsia="ar-SA"/>
        </w:rPr>
        <w:pict>
          <v:line id="_x0000_s1026" style="position:absolute;left:0;text-align:left;z-index:251660288" from="36pt,4.7pt" to="7in,4.7pt" strokeweight="1.59mm">
            <v:stroke joinstyle="miter"/>
          </v:line>
        </w:pict>
      </w:r>
    </w:p>
    <w:p w:rsidR="00947C99" w:rsidRDefault="00947C99" w:rsidP="00947C99">
      <w:pPr>
        <w:pStyle w:val="aa"/>
        <w:rPr>
          <w:b/>
          <w:bCs/>
        </w:rPr>
      </w:pPr>
      <w:r>
        <w:rPr>
          <w:b/>
          <w:bCs/>
        </w:rPr>
        <w:t>29 октября 2020 года</w:t>
      </w:r>
    </w:p>
    <w:p w:rsidR="00947C99" w:rsidRDefault="00947C99" w:rsidP="00947C99">
      <w:pPr>
        <w:pStyle w:val="aa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5" w:history="1">
        <w:r w:rsidRPr="0041452E">
          <w:rPr>
            <w:rStyle w:val="ac"/>
            <w:sz w:val="20"/>
            <w:szCs w:val="20"/>
            <w:lang w:val="en-US"/>
          </w:rPr>
          <w:t>www</w:t>
        </w:r>
        <w:r w:rsidRPr="0041452E">
          <w:rPr>
            <w:rStyle w:val="ac"/>
          </w:rPr>
          <w:t>.</w:t>
        </w:r>
        <w:proofErr w:type="spellStart"/>
        <w:r w:rsidRPr="0041452E">
          <w:rPr>
            <w:rStyle w:val="ac"/>
            <w:lang w:val="en-US"/>
          </w:rPr>
          <w:t>pfrf</w:t>
        </w:r>
        <w:proofErr w:type="spellEnd"/>
        <w:r w:rsidRPr="0041452E">
          <w:rPr>
            <w:rStyle w:val="ac"/>
          </w:rPr>
          <w:t>.</w:t>
        </w:r>
        <w:proofErr w:type="spellStart"/>
        <w:r w:rsidRPr="0041452E">
          <w:rPr>
            <w:rStyle w:val="ac"/>
            <w:lang w:val="en-US"/>
          </w:rPr>
          <w:t>ru</w:t>
        </w:r>
        <w:proofErr w:type="spellEnd"/>
      </w:hyperlink>
    </w:p>
    <w:p w:rsidR="00947C99" w:rsidRDefault="00947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4C1" w:rsidRPr="001047F0" w:rsidRDefault="004835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7F0">
        <w:rPr>
          <w:rFonts w:ascii="Times New Roman" w:hAnsi="Times New Roman" w:cs="Times New Roman"/>
          <w:b/>
          <w:bCs/>
          <w:sz w:val="28"/>
          <w:szCs w:val="28"/>
        </w:rPr>
        <w:t>Переплату придётся возвращать</w:t>
      </w:r>
    </w:p>
    <w:p w:rsidR="002254C1" w:rsidRPr="001047F0" w:rsidRDefault="00225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4C1" w:rsidRPr="001047F0" w:rsidRDefault="0048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047F0">
        <w:rPr>
          <w:rFonts w:ascii="Times New Roman" w:hAnsi="Times New Roman" w:cs="Times New Roman"/>
          <w:sz w:val="28"/>
          <w:szCs w:val="28"/>
        </w:rPr>
        <w:tab/>
        <w:t>По линии Пенсионного фонда РФ существует ряд выплат, которые напрямую зависят от факта работы, места проживания, обучения в вузе или службы в армии. Обо всех изменениях жизненных обстоятель</w:t>
      </w:r>
      <w:proofErr w:type="gramStart"/>
      <w:r w:rsidRPr="001047F0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1047F0">
        <w:rPr>
          <w:rFonts w:ascii="Times New Roman" w:hAnsi="Times New Roman" w:cs="Times New Roman"/>
          <w:sz w:val="28"/>
          <w:szCs w:val="28"/>
        </w:rPr>
        <w:t xml:space="preserve">ажданин, согласно закону, обязан известить Пенсионный фонд, а государственное учреждение, соответственно, — прекратить или приостановить выплаты. В противном случае образуется так называемая переплата, то есть сумма денежных выплат, которые гражданин получил незаконно и которые в конечном итоге придётся возвращать — добровольно или же в судебном порядке. </w:t>
      </w:r>
    </w:p>
    <w:p w:rsidR="002254C1" w:rsidRPr="001047F0" w:rsidRDefault="0048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047F0">
        <w:rPr>
          <w:rFonts w:ascii="Times New Roman" w:hAnsi="Times New Roman" w:cs="Times New Roman"/>
          <w:sz w:val="28"/>
          <w:szCs w:val="28"/>
        </w:rPr>
        <w:tab/>
        <w:t>Более того, несвоевременное информирование Пенсионного фонда и, как следствие, незаконное получение выплат может быть квалифицировано правоохранительными органами как преступление по статье 159.2  УК РФ «Мошенничество при получении выплат» и повлечь наказание в виде штрафа или даже ограничения свободы.</w:t>
      </w:r>
    </w:p>
    <w:p w:rsidR="002254C1" w:rsidRPr="001047F0" w:rsidRDefault="0048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047F0">
        <w:rPr>
          <w:rFonts w:ascii="Times New Roman" w:hAnsi="Times New Roman" w:cs="Times New Roman"/>
          <w:sz w:val="28"/>
          <w:szCs w:val="28"/>
        </w:rPr>
        <w:tab/>
        <w:t xml:space="preserve">Рассмотрим варианты, при которых, согласно российскому законодательству, может возникнуть проблема переплаты. </w:t>
      </w:r>
    </w:p>
    <w:p w:rsidR="002254C1" w:rsidRPr="001047F0" w:rsidRDefault="0048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047F0">
        <w:rPr>
          <w:rFonts w:ascii="Times New Roman" w:hAnsi="Times New Roman" w:cs="Times New Roman"/>
          <w:sz w:val="28"/>
          <w:szCs w:val="28"/>
        </w:rPr>
        <w:tab/>
        <w:t xml:space="preserve">Один из наиболее  распространенных случаев: гражданин оформил социальную доплату к пенсии до уровня минимального прожиточного минимума пенсионера (сегодня это 8 569 рублей), а спустя время трудоустроился и не сообщил об этом в ПФР. Получать социальную доплату могут только неработающие пенсионеры. </w:t>
      </w:r>
    </w:p>
    <w:p w:rsidR="002254C1" w:rsidRPr="001047F0" w:rsidRDefault="0048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047F0">
        <w:rPr>
          <w:rFonts w:ascii="Times New Roman" w:hAnsi="Times New Roman" w:cs="Times New Roman"/>
          <w:sz w:val="28"/>
          <w:szCs w:val="28"/>
        </w:rPr>
        <w:tab/>
        <w:t xml:space="preserve">Факт трудоустройства — решающий и при оформлении компенсационной выплаты по уходу за престарелыми (старше 80 лет), инвалидами </w:t>
      </w:r>
      <w:r w:rsidRPr="001047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47F0">
        <w:rPr>
          <w:rFonts w:ascii="Times New Roman" w:hAnsi="Times New Roman" w:cs="Times New Roman"/>
          <w:sz w:val="28"/>
          <w:szCs w:val="28"/>
        </w:rPr>
        <w:t xml:space="preserve"> группы или детьми-инвалидами. Получать такую выплату могут только </w:t>
      </w:r>
      <w:proofErr w:type="gramStart"/>
      <w:r w:rsidRPr="001047F0">
        <w:rPr>
          <w:rFonts w:ascii="Times New Roman" w:hAnsi="Times New Roman" w:cs="Times New Roman"/>
          <w:sz w:val="28"/>
          <w:szCs w:val="28"/>
        </w:rPr>
        <w:t>неработающие</w:t>
      </w:r>
      <w:proofErr w:type="gramEnd"/>
      <w:r w:rsidRPr="001047F0">
        <w:rPr>
          <w:rFonts w:ascii="Times New Roman" w:hAnsi="Times New Roman" w:cs="Times New Roman"/>
          <w:sz w:val="28"/>
          <w:szCs w:val="28"/>
        </w:rPr>
        <w:t xml:space="preserve">. При этом нередки случаи, когда студент оформил выплату по уходу за своей бабушкой, а во время летних каникул устроился официально на работу и забыл уведомить ПФР об этом.  Полученные после трудоустройства денежные средства являются переплатой и  подлежат обязательному полному возмещению. Это же действие закона распространяется и на получателей пенсии по случаю потери кормильца при уходе за ребёнком до 14 лет. </w:t>
      </w:r>
    </w:p>
    <w:p w:rsidR="002254C1" w:rsidRPr="001047F0" w:rsidRDefault="0048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ab/>
        <w:t xml:space="preserve">Молодые люди, получающие пенсию по потере кормильца, имеют право на выплаты до 23 лет при условии дневной формы обучения в учебном заведении - у студентов, занимающихся </w:t>
      </w:r>
      <w:proofErr w:type="spellStart"/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>очно</w:t>
      </w:r>
      <w:proofErr w:type="spellEnd"/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нет возможности работать и самостоятельно обеспечивать себя. </w:t>
      </w:r>
      <w:proofErr w:type="gramStart"/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>Если же студента отчислили или он перевёлся с очной формы обучения на заочную, то он лишается права на выплату пенсии по потере кормильца.</w:t>
      </w:r>
      <w:proofErr w:type="gramEnd"/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Чтобы не возникла переплата, о смене своего студенческого статуса надо сообщить в Пенсионный фонд. </w:t>
      </w:r>
    </w:p>
    <w:p w:rsidR="002254C1" w:rsidRPr="001047F0" w:rsidRDefault="0048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Уведомить ПФР надо и о призыве в армию. </w:t>
      </w:r>
      <w:r w:rsidRPr="001047F0">
        <w:rPr>
          <w:rFonts w:ascii="Times New Roman" w:hAnsi="Times New Roman" w:cs="Times New Roman"/>
          <w:sz w:val="28"/>
          <w:szCs w:val="28"/>
        </w:rPr>
        <w:t xml:space="preserve">В данном случае пенсия по случаю потери кормильца выплачиваться не будет в связи с тем, что призывник во время службы находится на государственном обеспечении. </w:t>
      </w:r>
    </w:p>
    <w:p w:rsidR="002254C1" w:rsidRPr="001047F0" w:rsidRDefault="0048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Напомним ещё раз: во всех вышеперечисленных случаях получатель пенсии или социальной выплаты должен самостоятельно известить  Пенсионный фонд об изменении своих жизненных условий! </w:t>
      </w:r>
    </w:p>
    <w:p w:rsidR="002254C1" w:rsidRPr="001047F0" w:rsidRDefault="0048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Также причиной переплаты может стать незаконное снятие денежных сре</w:t>
      </w:r>
      <w:proofErr w:type="gramStart"/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>дств с б</w:t>
      </w:r>
      <w:proofErr w:type="gramEnd"/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анковской карты умершего пенсионера. Родственники и другие лица не имеют права пользоваться банковской картой пенсионера после его смерти. Денежные средства, которые находятся на карте, наследуются согласно закону. </w:t>
      </w:r>
    </w:p>
    <w:p w:rsidR="002254C1" w:rsidRPr="001047F0" w:rsidRDefault="0048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Есть случаи переплаты с явно мошенническим умыслом — когда в Пенсионный фонд для начисления пенсии </w:t>
      </w:r>
      <w:proofErr w:type="gramStart"/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>предоставляются фиктивные документы</w:t>
      </w:r>
      <w:proofErr w:type="gramEnd"/>
      <w:r w:rsidRPr="001047F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скрывается факт получения пенсии в другом регионе России или на территории иностранного государства. Такие «криминальные» истории фиксируются и в нашем регионе. </w:t>
      </w:r>
    </w:p>
    <w:p w:rsidR="007A0509" w:rsidRPr="001047F0" w:rsidRDefault="0048354A" w:rsidP="001047F0">
      <w:pPr>
        <w:jc w:val="both"/>
        <w:rPr>
          <w:rFonts w:ascii="Times New Roman" w:hAnsi="Times New Roman" w:cs="Times New Roman"/>
          <w:sz w:val="28"/>
          <w:szCs w:val="28"/>
        </w:rPr>
      </w:pPr>
      <w:r w:rsidRPr="001047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047F0">
        <w:rPr>
          <w:rFonts w:ascii="Times New Roman" w:hAnsi="Times New Roman" w:cs="Times New Roman"/>
          <w:sz w:val="28"/>
          <w:szCs w:val="28"/>
        </w:rPr>
        <w:t xml:space="preserve">Гражданин, по вине которого произошла переплата, может вернуть полученные деньги добровольно. </w:t>
      </w:r>
      <w:r w:rsidR="007A0509" w:rsidRPr="001047F0">
        <w:rPr>
          <w:rFonts w:ascii="Times New Roman" w:hAnsi="Times New Roman" w:cs="Times New Roman"/>
          <w:sz w:val="28"/>
          <w:szCs w:val="28"/>
        </w:rPr>
        <w:t>Законодательством определен механизм возврата полученных клиентами ПФР излишне выплаченных сумм. При обнаружении факта переплаты органы ПФР первоначально извещают виновное лицо об этом и предлагают в добровольном порядке возместить ущерб. Если эта мера не приносит результата, переплата взыскивается принудительно по решению суда подразделениями Федеральной службы судебных приставов. Но в этом случае помимо переплаты человеку придется уплатить еще и судебные издержки ПФР. А если будет выявлен факт мошенничества, то возможно привлечение лиц к административной или уголовной ответственности.</w:t>
      </w:r>
    </w:p>
    <w:p w:rsidR="007A0509" w:rsidRPr="001047F0" w:rsidRDefault="007A0509" w:rsidP="007A0509">
      <w:pPr>
        <w:pStyle w:val="a9"/>
        <w:rPr>
          <w:sz w:val="28"/>
          <w:szCs w:val="28"/>
        </w:rPr>
      </w:pPr>
      <w:r w:rsidRPr="001047F0">
        <w:rPr>
          <w:sz w:val="28"/>
          <w:szCs w:val="28"/>
        </w:rPr>
        <w:t> </w:t>
      </w:r>
    </w:p>
    <w:p w:rsidR="007A0509" w:rsidRPr="001047F0" w:rsidRDefault="007A05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0509" w:rsidRPr="001047F0" w:rsidSect="002254C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compat>
    <w:useFELayout/>
  </w:compat>
  <w:rsids>
    <w:rsidRoot w:val="002254C1"/>
    <w:rsid w:val="001047F0"/>
    <w:rsid w:val="002254C1"/>
    <w:rsid w:val="003D1EBF"/>
    <w:rsid w:val="00410764"/>
    <w:rsid w:val="0048354A"/>
    <w:rsid w:val="004B5E5E"/>
    <w:rsid w:val="00787A60"/>
    <w:rsid w:val="007A0509"/>
    <w:rsid w:val="0094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C1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254C1"/>
    <w:rPr>
      <w:b/>
      <w:bCs/>
    </w:rPr>
  </w:style>
  <w:style w:type="paragraph" w:customStyle="1" w:styleId="a4">
    <w:name w:val="Заголовок"/>
    <w:basedOn w:val="a"/>
    <w:next w:val="a5"/>
    <w:qFormat/>
    <w:rsid w:val="002254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2254C1"/>
    <w:pPr>
      <w:spacing w:after="140" w:line="288" w:lineRule="auto"/>
    </w:pPr>
  </w:style>
  <w:style w:type="paragraph" w:styleId="a6">
    <w:name w:val="List"/>
    <w:basedOn w:val="a5"/>
    <w:rsid w:val="002254C1"/>
  </w:style>
  <w:style w:type="paragraph" w:styleId="a7">
    <w:name w:val="Title"/>
    <w:basedOn w:val="a"/>
    <w:rsid w:val="002254C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2254C1"/>
    <w:pPr>
      <w:suppressLineNumbers/>
    </w:pPr>
  </w:style>
  <w:style w:type="paragraph" w:styleId="a9">
    <w:name w:val="Normal (Web)"/>
    <w:basedOn w:val="a"/>
    <w:uiPriority w:val="99"/>
    <w:semiHidden/>
    <w:unhideWhenUsed/>
    <w:rsid w:val="007A050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a">
    <w:name w:val="Body Text Indent"/>
    <w:basedOn w:val="a"/>
    <w:link w:val="ab"/>
    <w:uiPriority w:val="99"/>
    <w:semiHidden/>
    <w:unhideWhenUsed/>
    <w:rsid w:val="00947C99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47C99"/>
    <w:rPr>
      <w:szCs w:val="21"/>
    </w:rPr>
  </w:style>
  <w:style w:type="character" w:styleId="ac">
    <w:name w:val="Hyperlink"/>
    <w:basedOn w:val="a0"/>
    <w:uiPriority w:val="99"/>
    <w:unhideWhenUsed/>
    <w:rsid w:val="00947C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ED3BD-367F-40DB-963F-9C40B1AE5D75}"/>
</file>

<file path=customXml/itemProps2.xml><?xml version="1.0" encoding="utf-8"?>
<ds:datastoreItem xmlns:ds="http://schemas.openxmlformats.org/officeDocument/2006/customXml" ds:itemID="{A48942FA-A85E-4376-905B-8A86FDFAA3C0}"/>
</file>

<file path=customXml/itemProps3.xml><?xml version="1.0" encoding="utf-8"?>
<ds:datastoreItem xmlns:ds="http://schemas.openxmlformats.org/officeDocument/2006/customXml" ds:itemID="{DCC059D2-58CA-4939-990B-03A142242A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Юлия Витальевна</dc:creator>
  <cp:lastModifiedBy>044MatyushechkinaMS</cp:lastModifiedBy>
  <cp:revision>6</cp:revision>
  <dcterms:created xsi:type="dcterms:W3CDTF">2020-10-29T11:06:00Z</dcterms:created>
  <dcterms:modified xsi:type="dcterms:W3CDTF">2020-10-29T11:56:00Z</dcterms:modified>
  <dc:language>ru-RU</dc:language>
</cp:coreProperties>
</file>