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034E8B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FE0F300" wp14:editId="53D71F5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228725" cy="120523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Предупреждение пожаров</w:t>
            </w:r>
          </w:p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от электрического освещения</w:t>
            </w:r>
          </w:p>
          <w:p w:rsidR="008D4880" w:rsidRPr="001D025D" w:rsidRDefault="002742A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и бытовых приборов</w:t>
            </w:r>
          </w:p>
        </w:tc>
      </w:tr>
    </w:tbl>
    <w:p w:rsidR="00E61A31" w:rsidRPr="00034E8B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p w:rsidR="00034E8B" w:rsidRPr="001D025D" w:rsidRDefault="00034E8B" w:rsidP="00034E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71C7E" w:rsidRPr="001D025D" w:rsidTr="00034E8B">
        <w:tc>
          <w:tcPr>
            <w:tcW w:w="10137" w:type="dxa"/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C47AA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C47AA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C47AA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04E06"/>
    <w:multiLevelType w:val="hybridMultilevel"/>
    <w:tmpl w:val="F998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4E8B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C47AA1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BBB2A-72D7-477D-A17C-EAA5DCD7EF73}"/>
</file>

<file path=customXml/itemProps2.xml><?xml version="1.0" encoding="utf-8"?>
<ds:datastoreItem xmlns:ds="http://schemas.openxmlformats.org/officeDocument/2006/customXml" ds:itemID="{830B11C9-0C51-42D3-B543-7BD8A6AF4BEF}"/>
</file>

<file path=customXml/itemProps3.xml><?xml version="1.0" encoding="utf-8"?>
<ds:datastoreItem xmlns:ds="http://schemas.openxmlformats.org/officeDocument/2006/customXml" ds:itemID="{B766A4DE-A8D9-437D-8953-EDB29645B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2022-10-27T07:13:00Z</dcterms:modified>
</cp:coreProperties>
</file>