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1809"/>
        <w:gridCol w:w="9214"/>
      </w:tblGrid>
      <w:tr w:rsidR="001D04CE" w:rsidTr="00200712">
        <w:trPr>
          <w:trHeight w:val="1687"/>
        </w:trPr>
        <w:tc>
          <w:tcPr>
            <w:tcW w:w="1809" w:type="dxa"/>
            <w:tcBorders>
              <w:right w:val="nil"/>
            </w:tcBorders>
            <w:vAlign w:val="center"/>
          </w:tcPr>
          <w:p w:rsidR="001D04CE" w:rsidRPr="001D04CE" w:rsidRDefault="001D04CE" w:rsidP="001D04CE">
            <w:pPr>
              <w:spacing w:after="60"/>
              <w:rPr>
                <w:rFonts w:ascii="Times New Roman" w:eastAsia="Times New Roman" w:hAnsi="Times New Roman" w:cs="Times New Roman"/>
                <w:b/>
                <w:bCs/>
                <w:kern w:val="36"/>
                <w:sz w:val="2"/>
                <w:szCs w:val="2"/>
                <w:lang w:eastAsia="ru-RU"/>
              </w:rPr>
            </w:pPr>
            <w:r w:rsidRPr="00641F29">
              <w:rPr>
                <w:b/>
                <w:noProof/>
                <w:color w:val="000000" w:themeColor="text1"/>
                <w:sz w:val="2"/>
                <w:szCs w:val="2"/>
                <w:lang w:eastAsia="ru-RU"/>
              </w:rPr>
              <w:drawing>
                <wp:anchor distT="0" distB="0" distL="114300" distR="114300" simplePos="0" relativeHeight="251659264" behindDoc="0" locked="0" layoutInCell="1" allowOverlap="1" wp14:anchorId="7334022D" wp14:editId="2D447CF9">
                  <wp:simplePos x="0" y="0"/>
                  <wp:positionH relativeFrom="column">
                    <wp:posOffset>-13335</wp:posOffset>
                  </wp:positionH>
                  <wp:positionV relativeFrom="paragraph">
                    <wp:posOffset>-977900</wp:posOffset>
                  </wp:positionV>
                  <wp:extent cx="1000125" cy="980440"/>
                  <wp:effectExtent l="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980440"/>
                          </a:xfrm>
                          <a:prstGeom prst="rect">
                            <a:avLst/>
                          </a:prstGeom>
                          <a:noFill/>
                        </pic:spPr>
                      </pic:pic>
                    </a:graphicData>
                  </a:graphic>
                  <wp14:sizeRelH relativeFrom="page">
                    <wp14:pctWidth>0</wp14:pctWidth>
                  </wp14:sizeRelH>
                  <wp14:sizeRelV relativeFrom="page">
                    <wp14:pctHeight>0</wp14:pctHeight>
                  </wp14:sizeRelV>
                </wp:anchor>
              </w:drawing>
            </w:r>
          </w:p>
        </w:tc>
        <w:tc>
          <w:tcPr>
            <w:tcW w:w="9214" w:type="dxa"/>
            <w:tcBorders>
              <w:left w:val="nil"/>
            </w:tcBorders>
            <w:vAlign w:val="center"/>
          </w:tcPr>
          <w:p w:rsidR="001D04CE" w:rsidRDefault="001D04CE" w:rsidP="001D04CE">
            <w:pPr>
              <w:spacing w:after="60"/>
              <w:jc w:val="center"/>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ПАМЯТКА</w:t>
            </w:r>
          </w:p>
          <w:p w:rsidR="001D04CE" w:rsidRDefault="001D04CE" w:rsidP="001D04CE">
            <w:pPr>
              <w:spacing w:after="60"/>
              <w:jc w:val="center"/>
              <w:rPr>
                <w:rFonts w:ascii="Times New Roman" w:eastAsia="Times New Roman" w:hAnsi="Times New Roman" w:cs="Times New Roman"/>
                <w:b/>
                <w:bCs/>
                <w:kern w:val="36"/>
                <w:sz w:val="28"/>
                <w:szCs w:val="28"/>
                <w:lang w:eastAsia="ru-RU"/>
              </w:rPr>
            </w:pPr>
            <w:r w:rsidRPr="001C226A">
              <w:rPr>
                <w:rFonts w:ascii="Times New Roman" w:eastAsia="Times New Roman" w:hAnsi="Times New Roman" w:cs="Times New Roman"/>
                <w:b/>
                <w:bCs/>
                <w:kern w:val="36"/>
                <w:sz w:val="28"/>
                <w:szCs w:val="28"/>
                <w:lang w:eastAsia="ru-RU"/>
              </w:rPr>
              <w:t>по соблю</w:t>
            </w:r>
            <w:bookmarkStart w:id="0" w:name="_GoBack"/>
            <w:bookmarkEnd w:id="0"/>
            <w:r w:rsidRPr="001C226A">
              <w:rPr>
                <w:rFonts w:ascii="Times New Roman" w:eastAsia="Times New Roman" w:hAnsi="Times New Roman" w:cs="Times New Roman"/>
                <w:b/>
                <w:bCs/>
                <w:kern w:val="36"/>
                <w:sz w:val="28"/>
                <w:szCs w:val="28"/>
                <w:lang w:eastAsia="ru-RU"/>
              </w:rPr>
              <w:t>дению правил пожарной безопасности в быту</w:t>
            </w:r>
            <w:r>
              <w:rPr>
                <w:rFonts w:ascii="Times New Roman" w:eastAsia="Times New Roman" w:hAnsi="Times New Roman" w:cs="Times New Roman"/>
                <w:b/>
                <w:bCs/>
                <w:kern w:val="36"/>
                <w:sz w:val="28"/>
                <w:szCs w:val="28"/>
                <w:lang w:eastAsia="ru-RU"/>
              </w:rPr>
              <w:t xml:space="preserve"> № 2</w:t>
            </w:r>
          </w:p>
        </w:tc>
      </w:tr>
      <w:tr w:rsidR="001D04CE" w:rsidTr="001D04CE">
        <w:tc>
          <w:tcPr>
            <w:tcW w:w="11023" w:type="dxa"/>
            <w:gridSpan w:val="2"/>
            <w:vAlign w:val="center"/>
          </w:tcPr>
          <w:p w:rsidR="001D04CE" w:rsidRPr="00B70545" w:rsidRDefault="001D04CE" w:rsidP="001D04CE">
            <w:pPr>
              <w:jc w:val="center"/>
              <w:rPr>
                <w:rFonts w:ascii="Times New Roman" w:eastAsia="Times New Roman" w:hAnsi="Times New Roman" w:cs="Times New Roman"/>
                <w:sz w:val="23"/>
                <w:szCs w:val="23"/>
                <w:lang w:eastAsia="ru-RU"/>
              </w:rPr>
            </w:pPr>
            <w:r w:rsidRPr="00B70545">
              <w:rPr>
                <w:rFonts w:ascii="Times New Roman" w:eastAsia="Times New Roman" w:hAnsi="Times New Roman" w:cs="Times New Roman"/>
                <w:b/>
                <w:bCs/>
                <w:color w:val="FF0000"/>
                <w:sz w:val="23"/>
                <w:szCs w:val="23"/>
                <w:u w:val="single"/>
                <w:lang w:eastAsia="ru-RU"/>
              </w:rPr>
              <w:t>Меры пожарной безопасности при эксплуатации электрооборудования</w:t>
            </w:r>
          </w:p>
          <w:p w:rsidR="001D04CE" w:rsidRPr="00B70545" w:rsidRDefault="001D04CE" w:rsidP="001D04CE">
            <w:pPr>
              <w:pStyle w:val="a4"/>
              <w:numPr>
                <w:ilvl w:val="0"/>
                <w:numId w:val="2"/>
              </w:numPr>
              <w:tabs>
                <w:tab w:val="left" w:pos="459"/>
              </w:tabs>
              <w:spacing w:line="240" w:lineRule="exact"/>
              <w:ind w:left="0" w:firstLine="170"/>
              <w:jc w:val="left"/>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При эксплуатации электрических приборов запрещается:</w:t>
            </w:r>
          </w:p>
          <w:p w:rsidR="001D04CE" w:rsidRPr="00B70545" w:rsidRDefault="001D04CE" w:rsidP="001D04CE">
            <w:pPr>
              <w:spacing w:line="240" w:lineRule="exact"/>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1D04CE" w:rsidRPr="00B70545"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1D04CE" w:rsidRPr="00B70545"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окрашивать краской или заклеивать открытую электропроводку обоями;</w:t>
            </w:r>
          </w:p>
          <w:p w:rsidR="001D04CE" w:rsidRPr="00B70545"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пользоваться поврежденными выключателями, розетками, патронами;</w:t>
            </w:r>
          </w:p>
          <w:p w:rsidR="001D04CE" w:rsidRPr="00B70545"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закрывать электрические лампочки абажурами из горючих материалов;</w:t>
            </w:r>
          </w:p>
          <w:p w:rsidR="001D04CE" w:rsidRPr="00B70545"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использование электронагревательных приборов при отсутствии или неисправности терморегуляторов, предусмотренных конструкцией.</w:t>
            </w:r>
          </w:p>
          <w:p w:rsidR="001D04CE" w:rsidRPr="00B70545"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1D04CE" w:rsidRPr="00B70545"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1D04CE" w:rsidRPr="00B70545"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Включенные электронагревательные приборы должны быть установлены на негорючие теплоизоляционные подставки.</w:t>
            </w:r>
          </w:p>
          <w:p w:rsidR="001D04CE" w:rsidRPr="00B70545"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1D04CE" w:rsidRPr="00B70545"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Перед уходом из дома на длительное время, нужно проверить и убедиться, что все электронагревательные и осветительные приборы отключены.</w:t>
            </w:r>
          </w:p>
          <w:p w:rsidR="001D04CE" w:rsidRPr="00B70545" w:rsidRDefault="001D04CE" w:rsidP="001D04CE">
            <w:pPr>
              <w:ind w:firstLine="709"/>
              <w:jc w:val="center"/>
              <w:rPr>
                <w:rFonts w:ascii="Times New Roman" w:eastAsia="Times New Roman" w:hAnsi="Times New Roman" w:cs="Times New Roman"/>
                <w:sz w:val="23"/>
                <w:szCs w:val="23"/>
                <w:lang w:eastAsia="ru-RU"/>
              </w:rPr>
            </w:pPr>
            <w:r w:rsidRPr="00B70545">
              <w:rPr>
                <w:rFonts w:ascii="Times New Roman" w:eastAsia="Times New Roman" w:hAnsi="Times New Roman" w:cs="Times New Roman"/>
                <w:b/>
                <w:bCs/>
                <w:color w:val="FF0000"/>
                <w:sz w:val="23"/>
                <w:szCs w:val="23"/>
                <w:u w:val="single"/>
                <w:lang w:eastAsia="ru-RU"/>
              </w:rPr>
              <w:t>Меры пожарной безопасности при эксплуатации газового оборудования</w:t>
            </w:r>
          </w:p>
          <w:p w:rsidR="001D04CE" w:rsidRPr="00B70545" w:rsidRDefault="001D04CE" w:rsidP="001D04CE">
            <w:pPr>
              <w:pStyle w:val="a4"/>
              <w:numPr>
                <w:ilvl w:val="0"/>
                <w:numId w:val="3"/>
              </w:numPr>
              <w:tabs>
                <w:tab w:val="left" w:pos="429"/>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1D04CE" w:rsidRPr="00B70545" w:rsidRDefault="001D04CE" w:rsidP="001D04CE">
            <w:pPr>
              <w:pStyle w:val="a4"/>
              <w:numPr>
                <w:ilvl w:val="0"/>
                <w:numId w:val="3"/>
              </w:numPr>
              <w:tabs>
                <w:tab w:val="left" w:pos="429"/>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При эксплуатации газового оборудования запрещается:</w:t>
            </w:r>
          </w:p>
          <w:p w:rsidR="001D04CE" w:rsidRPr="00B70545" w:rsidRDefault="001D04CE" w:rsidP="001D04CE">
            <w:pPr>
              <w:pStyle w:val="a4"/>
              <w:numPr>
                <w:ilvl w:val="0"/>
                <w:numId w:val="4"/>
              </w:numPr>
              <w:tabs>
                <w:tab w:val="left" w:pos="429"/>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пользоваться газовыми приборами малолетним детям и лицам, незнакомым с порядком его безопасной эксплуатации;</w:t>
            </w:r>
          </w:p>
          <w:p w:rsidR="001D04CE" w:rsidRPr="00B70545" w:rsidRDefault="001D04CE" w:rsidP="001D04CE">
            <w:pPr>
              <w:pStyle w:val="a4"/>
              <w:numPr>
                <w:ilvl w:val="0"/>
                <w:numId w:val="4"/>
              </w:numPr>
              <w:tabs>
                <w:tab w:val="left" w:pos="429"/>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открывать газовые краны, пока не зажжена спичка или не включен ручной запальник;</w:t>
            </w:r>
          </w:p>
          <w:p w:rsidR="001D04CE" w:rsidRPr="00B70545" w:rsidRDefault="001D04CE" w:rsidP="001D04CE">
            <w:pPr>
              <w:spacing w:line="240" w:lineRule="exact"/>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сушить белье над газовой плитой, оно может загореться.</w:t>
            </w:r>
          </w:p>
          <w:p w:rsidR="00B70545" w:rsidRDefault="001D04CE" w:rsidP="00B70545">
            <w:pPr>
              <w:pStyle w:val="a4"/>
              <w:numPr>
                <w:ilvl w:val="0"/>
                <w:numId w:val="3"/>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1D04CE" w:rsidRPr="00B70545" w:rsidRDefault="001D04CE" w:rsidP="00B70545">
            <w:pPr>
              <w:tabs>
                <w:tab w:val="left" w:pos="426"/>
              </w:tabs>
              <w:spacing w:line="240" w:lineRule="exact"/>
              <w:jc w:val="center"/>
              <w:rPr>
                <w:rFonts w:ascii="Times New Roman" w:eastAsia="Times New Roman" w:hAnsi="Times New Roman" w:cs="Times New Roman"/>
                <w:sz w:val="23"/>
                <w:szCs w:val="23"/>
                <w:lang w:eastAsia="ru-RU"/>
              </w:rPr>
            </w:pPr>
            <w:r w:rsidRPr="00B70545">
              <w:rPr>
                <w:rFonts w:ascii="Times New Roman" w:eastAsia="Times New Roman" w:hAnsi="Times New Roman" w:cs="Times New Roman"/>
                <w:b/>
                <w:bCs/>
                <w:color w:val="FF0000"/>
                <w:sz w:val="23"/>
                <w:szCs w:val="23"/>
                <w:u w:val="single"/>
                <w:lang w:eastAsia="ru-RU"/>
              </w:rPr>
              <w:t>Печное отопление</w:t>
            </w:r>
          </w:p>
          <w:p w:rsidR="001D04CE" w:rsidRPr="00B70545" w:rsidRDefault="001D04CE" w:rsidP="001D04CE">
            <w:pPr>
              <w:pStyle w:val="a4"/>
              <w:numPr>
                <w:ilvl w:val="0"/>
                <w:numId w:val="5"/>
              </w:numPr>
              <w:tabs>
                <w:tab w:val="left" w:pos="450"/>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Печи, находящиеся в доме, должны быть в исправном состоянии и безопасны в пожарном отношении.</w:t>
            </w:r>
          </w:p>
          <w:p w:rsidR="001D04CE" w:rsidRPr="00B70545" w:rsidRDefault="001D04CE" w:rsidP="001D04CE">
            <w:pPr>
              <w:spacing w:line="240" w:lineRule="exact"/>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 xml:space="preserve">Нужно помнить, что пожар может возникнуть в результате воздействия огня и искр через трещины и </w:t>
            </w:r>
            <w:proofErr w:type="spellStart"/>
            <w:r w:rsidRPr="00B70545">
              <w:rPr>
                <w:rFonts w:ascii="Times New Roman" w:eastAsia="Times New Roman" w:hAnsi="Times New Roman" w:cs="Times New Roman"/>
                <w:sz w:val="23"/>
                <w:szCs w:val="23"/>
                <w:lang w:eastAsia="ru-RU"/>
              </w:rPr>
              <w:t>неплотности</w:t>
            </w:r>
            <w:proofErr w:type="spellEnd"/>
            <w:r w:rsidRPr="00B70545">
              <w:rPr>
                <w:rFonts w:ascii="Times New Roman" w:eastAsia="Times New Roman" w:hAnsi="Times New Roman" w:cs="Times New Roman"/>
                <w:sz w:val="23"/>
                <w:szCs w:val="23"/>
                <w:lang w:eastAsia="ru-RU"/>
              </w:rPr>
              <w:t xml:space="preserve">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1D04CE" w:rsidRPr="00B70545" w:rsidRDefault="001D04CE" w:rsidP="001D04CE">
            <w:pPr>
              <w:ind w:firstLine="709"/>
              <w:jc w:val="center"/>
              <w:rPr>
                <w:rFonts w:ascii="Times New Roman" w:eastAsia="Times New Roman" w:hAnsi="Times New Roman" w:cs="Times New Roman"/>
                <w:b/>
                <w:sz w:val="23"/>
                <w:szCs w:val="23"/>
                <w:u w:val="single"/>
                <w:lang w:eastAsia="ru-RU"/>
              </w:rPr>
            </w:pPr>
            <w:r w:rsidRPr="00B70545">
              <w:rPr>
                <w:rFonts w:ascii="Times New Roman" w:eastAsia="Times New Roman" w:hAnsi="Times New Roman" w:cs="Times New Roman"/>
                <w:b/>
                <w:bCs/>
                <w:sz w:val="23"/>
                <w:szCs w:val="23"/>
                <w:u w:val="single"/>
                <w:lang w:eastAsia="ru-RU"/>
              </w:rPr>
              <w:t>При эксплуатации печей</w:t>
            </w:r>
            <w:r w:rsidRPr="00B70545">
              <w:rPr>
                <w:rFonts w:ascii="Times New Roman" w:eastAsia="Times New Roman" w:hAnsi="Times New Roman" w:cs="Times New Roman"/>
                <w:b/>
                <w:sz w:val="23"/>
                <w:szCs w:val="23"/>
                <w:u w:val="single"/>
                <w:lang w:eastAsia="ru-RU"/>
              </w:rPr>
              <w:t> следует выполнять следующие требования:</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 xml:space="preserve">перед топкой должен быть прибит </w:t>
            </w:r>
            <w:proofErr w:type="spellStart"/>
            <w:r w:rsidRPr="00B70545">
              <w:rPr>
                <w:rFonts w:ascii="Times New Roman" w:eastAsia="Times New Roman" w:hAnsi="Times New Roman" w:cs="Times New Roman"/>
                <w:sz w:val="23"/>
                <w:szCs w:val="23"/>
                <w:lang w:eastAsia="ru-RU"/>
              </w:rPr>
              <w:t>предтопочный</w:t>
            </w:r>
            <w:proofErr w:type="spellEnd"/>
            <w:r w:rsidRPr="00B70545">
              <w:rPr>
                <w:rFonts w:ascii="Times New Roman" w:eastAsia="Times New Roman" w:hAnsi="Times New Roman" w:cs="Times New Roman"/>
                <w:sz w:val="23"/>
                <w:szCs w:val="23"/>
                <w:lang w:eastAsia="ru-RU"/>
              </w:rPr>
              <w:t xml:space="preserve"> лист, из стали размером 50х70см и толщиной не менее 2 мм, предохраняющий от возгорания случайно выпавших искр;</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 xml:space="preserve">располагать топливо, другие горючие вещества и материалы на </w:t>
            </w:r>
            <w:proofErr w:type="spellStart"/>
            <w:r w:rsidRPr="00B70545">
              <w:rPr>
                <w:rFonts w:ascii="Times New Roman" w:eastAsia="Times New Roman" w:hAnsi="Times New Roman" w:cs="Times New Roman"/>
                <w:sz w:val="23"/>
                <w:szCs w:val="23"/>
                <w:lang w:eastAsia="ru-RU"/>
              </w:rPr>
              <w:t>предтопочном</w:t>
            </w:r>
            <w:proofErr w:type="spellEnd"/>
            <w:r w:rsidRPr="00B70545">
              <w:rPr>
                <w:rFonts w:ascii="Times New Roman" w:eastAsia="Times New Roman" w:hAnsi="Times New Roman" w:cs="Times New Roman"/>
                <w:sz w:val="23"/>
                <w:szCs w:val="23"/>
                <w:lang w:eastAsia="ru-RU"/>
              </w:rPr>
              <w:t xml:space="preserve"> листе;</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недопустимо топить печи с открытыми дверцами;</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зола и шлак, выгребаемые из топок, должны быть пролиты водой, и удалены в специально отведенное для них безопасное место;</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дымовые трубы над сгораемыми крышами должны иметь искроуловители (металлические сетки);</w:t>
            </w:r>
          </w:p>
          <w:p w:rsidR="001D04CE" w:rsidRPr="00B70545" w:rsidRDefault="001D04CE" w:rsidP="00B70545">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очищают дымоходы от сажи, как правило, перед началом отопительного сезона и не реже одного раза в два месяца во время отопительного сезона.</w:t>
            </w:r>
          </w:p>
          <w:p w:rsidR="00B70545" w:rsidRDefault="00B70545" w:rsidP="00B70545">
            <w:pPr>
              <w:spacing w:line="240" w:lineRule="exact"/>
              <w:jc w:val="center"/>
              <w:rPr>
                <w:rFonts w:ascii="Times New Roman" w:eastAsia="Times New Roman" w:hAnsi="Times New Roman" w:cs="Times New Roman"/>
                <w:b/>
                <w:bCs/>
                <w:color w:val="FF0000"/>
                <w:sz w:val="23"/>
                <w:szCs w:val="23"/>
                <w:lang w:eastAsia="ru-RU"/>
              </w:rPr>
            </w:pPr>
            <w:r>
              <w:rPr>
                <w:rFonts w:ascii="Times New Roman" w:eastAsia="Times New Roman" w:hAnsi="Times New Roman" w:cs="Times New Roman"/>
                <w:b/>
                <w:bCs/>
                <w:color w:val="FF0000"/>
                <w:sz w:val="23"/>
                <w:szCs w:val="23"/>
                <w:lang w:eastAsia="ru-RU"/>
              </w:rPr>
              <w:t>Помните!</w:t>
            </w:r>
          </w:p>
          <w:p w:rsidR="00B70545" w:rsidRPr="00B70545" w:rsidRDefault="001D04CE" w:rsidP="00B70545">
            <w:pPr>
              <w:spacing w:line="240" w:lineRule="exact"/>
              <w:jc w:val="center"/>
              <w:rPr>
                <w:rFonts w:ascii="Times New Roman" w:eastAsia="Times New Roman" w:hAnsi="Times New Roman" w:cs="Times New Roman"/>
                <w:b/>
                <w:bCs/>
                <w:color w:val="FF0000"/>
                <w:sz w:val="23"/>
                <w:szCs w:val="23"/>
                <w:lang w:eastAsia="ru-RU"/>
              </w:rPr>
            </w:pPr>
            <w:r w:rsidRPr="00B70545">
              <w:rPr>
                <w:rFonts w:ascii="Times New Roman" w:eastAsia="Times New Roman" w:hAnsi="Times New Roman" w:cs="Times New Roman"/>
                <w:b/>
                <w:bCs/>
                <w:color w:val="FF0000"/>
                <w:sz w:val="23"/>
                <w:szCs w:val="23"/>
                <w:lang w:eastAsia="ru-RU"/>
              </w:rPr>
              <w:t>Соблюдение мер пожарной безопасности - это залог вашего благополучия,</w:t>
            </w:r>
            <w:r w:rsidR="00B70545" w:rsidRPr="00B70545">
              <w:rPr>
                <w:rFonts w:ascii="Times New Roman" w:eastAsia="Times New Roman" w:hAnsi="Times New Roman" w:cs="Times New Roman"/>
                <w:color w:val="FF0000"/>
                <w:sz w:val="23"/>
                <w:szCs w:val="23"/>
                <w:lang w:eastAsia="ru-RU"/>
              </w:rPr>
              <w:t xml:space="preserve"> </w:t>
            </w:r>
            <w:r w:rsidRPr="00B70545">
              <w:rPr>
                <w:rFonts w:ascii="Times New Roman" w:eastAsia="Times New Roman" w:hAnsi="Times New Roman" w:cs="Times New Roman"/>
                <w:b/>
                <w:bCs/>
                <w:color w:val="FF0000"/>
                <w:sz w:val="23"/>
                <w:szCs w:val="23"/>
                <w:lang w:eastAsia="ru-RU"/>
              </w:rPr>
              <w:t>сохранности вашей жизни и жизни ваших близких!</w:t>
            </w:r>
          </w:p>
          <w:p w:rsidR="00B70545" w:rsidRDefault="00B70545" w:rsidP="00B70545">
            <w:pPr>
              <w:spacing w:line="240" w:lineRule="exact"/>
              <w:jc w:val="right"/>
              <w:rPr>
                <w:rFonts w:ascii="Times New Roman" w:hAnsi="Times New Roman" w:cs="Times New Roman"/>
                <w:b/>
                <w:sz w:val="23"/>
                <w:szCs w:val="23"/>
              </w:rPr>
            </w:pPr>
            <w:r>
              <w:rPr>
                <w:rFonts w:ascii="Times New Roman" w:hAnsi="Times New Roman" w:cs="Times New Roman"/>
                <w:b/>
                <w:sz w:val="23"/>
                <w:szCs w:val="23"/>
              </w:rPr>
              <w:t>Комитет гражданской защиты</w:t>
            </w:r>
          </w:p>
          <w:p w:rsidR="001D04CE" w:rsidRPr="00B70545" w:rsidRDefault="001D04CE" w:rsidP="00B70545">
            <w:pPr>
              <w:spacing w:line="240" w:lineRule="exact"/>
              <w:jc w:val="right"/>
              <w:rPr>
                <w:rFonts w:ascii="Times New Roman" w:hAnsi="Times New Roman" w:cs="Times New Roman"/>
                <w:b/>
                <w:sz w:val="24"/>
                <w:szCs w:val="24"/>
              </w:rPr>
            </w:pPr>
            <w:r w:rsidRPr="00B70545">
              <w:rPr>
                <w:rFonts w:ascii="Times New Roman" w:hAnsi="Times New Roman" w:cs="Times New Roman"/>
                <w:b/>
                <w:sz w:val="23"/>
                <w:szCs w:val="23"/>
              </w:rPr>
              <w:t>населения администрации Волгоград</w:t>
            </w:r>
          </w:p>
        </w:tc>
      </w:tr>
    </w:tbl>
    <w:p w:rsidR="001F7346" w:rsidRPr="00B70545" w:rsidRDefault="001F7346" w:rsidP="001D04CE">
      <w:pPr>
        <w:spacing w:after="60"/>
        <w:rPr>
          <w:rFonts w:ascii="Times New Roman" w:hAnsi="Times New Roman" w:cs="Times New Roman"/>
          <w:sz w:val="2"/>
          <w:szCs w:val="2"/>
        </w:rPr>
      </w:pPr>
    </w:p>
    <w:sectPr w:rsidR="001F7346" w:rsidRPr="00B70545" w:rsidSect="00B70545">
      <w:pgSz w:w="11906" w:h="16838"/>
      <w:pgMar w:top="284" w:right="424"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14B27"/>
    <w:multiLevelType w:val="hybridMultilevel"/>
    <w:tmpl w:val="B4409230"/>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B82009"/>
    <w:multiLevelType w:val="hybridMultilevel"/>
    <w:tmpl w:val="2BEEAFF0"/>
    <w:lvl w:ilvl="0" w:tplc="36BC356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A30B4F"/>
    <w:multiLevelType w:val="hybridMultilevel"/>
    <w:tmpl w:val="5CFA7E6C"/>
    <w:lvl w:ilvl="0" w:tplc="57361842">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5D64893"/>
    <w:multiLevelType w:val="hybridMultilevel"/>
    <w:tmpl w:val="C8D04A72"/>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0E67D3"/>
    <w:multiLevelType w:val="hybridMultilevel"/>
    <w:tmpl w:val="44D06CB6"/>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982BCD"/>
    <w:multiLevelType w:val="hybridMultilevel"/>
    <w:tmpl w:val="CE1C8342"/>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4435368"/>
    <w:multiLevelType w:val="hybridMultilevel"/>
    <w:tmpl w:val="CE1C8342"/>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A102A36"/>
    <w:multiLevelType w:val="hybridMultilevel"/>
    <w:tmpl w:val="3BDE278A"/>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7D0620"/>
    <w:multiLevelType w:val="hybridMultilevel"/>
    <w:tmpl w:val="6E289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2"/>
  </w:num>
  <w:num w:numId="6">
    <w:abstractNumId w:val="3"/>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3B"/>
    <w:rsid w:val="000B1F3B"/>
    <w:rsid w:val="001D04CE"/>
    <w:rsid w:val="001F7346"/>
    <w:rsid w:val="00200712"/>
    <w:rsid w:val="00351316"/>
    <w:rsid w:val="007B44CF"/>
    <w:rsid w:val="00B70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7346"/>
    <w:pPr>
      <w:ind w:left="720"/>
      <w:contextualSpacing/>
    </w:pPr>
  </w:style>
  <w:style w:type="paragraph" w:styleId="a5">
    <w:name w:val="Balloon Text"/>
    <w:basedOn w:val="a"/>
    <w:link w:val="a6"/>
    <w:uiPriority w:val="99"/>
    <w:semiHidden/>
    <w:unhideWhenUsed/>
    <w:rsid w:val="001F7346"/>
    <w:rPr>
      <w:rFonts w:ascii="Tahoma" w:hAnsi="Tahoma" w:cs="Tahoma"/>
      <w:sz w:val="16"/>
      <w:szCs w:val="16"/>
    </w:rPr>
  </w:style>
  <w:style w:type="character" w:customStyle="1" w:styleId="a6">
    <w:name w:val="Текст выноски Знак"/>
    <w:basedOn w:val="a0"/>
    <w:link w:val="a5"/>
    <w:uiPriority w:val="99"/>
    <w:semiHidden/>
    <w:rsid w:val="001F73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7346"/>
    <w:pPr>
      <w:ind w:left="720"/>
      <w:contextualSpacing/>
    </w:pPr>
  </w:style>
  <w:style w:type="paragraph" w:styleId="a5">
    <w:name w:val="Balloon Text"/>
    <w:basedOn w:val="a"/>
    <w:link w:val="a6"/>
    <w:uiPriority w:val="99"/>
    <w:semiHidden/>
    <w:unhideWhenUsed/>
    <w:rsid w:val="001F7346"/>
    <w:rPr>
      <w:rFonts w:ascii="Tahoma" w:hAnsi="Tahoma" w:cs="Tahoma"/>
      <w:sz w:val="16"/>
      <w:szCs w:val="16"/>
    </w:rPr>
  </w:style>
  <w:style w:type="character" w:customStyle="1" w:styleId="a6">
    <w:name w:val="Текст выноски Знак"/>
    <w:basedOn w:val="a0"/>
    <w:link w:val="a5"/>
    <w:uiPriority w:val="99"/>
    <w:semiHidden/>
    <w:rsid w:val="001F73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F22AEF-F85A-4C22-9AEE-07EE8B0EC9B9}"/>
</file>

<file path=customXml/itemProps2.xml><?xml version="1.0" encoding="utf-8"?>
<ds:datastoreItem xmlns:ds="http://schemas.openxmlformats.org/officeDocument/2006/customXml" ds:itemID="{31CE37C7-81FA-429C-A8AF-68AAB72C8A2D}"/>
</file>

<file path=customXml/itemProps3.xml><?xml version="1.0" encoding="utf-8"?>
<ds:datastoreItem xmlns:ds="http://schemas.openxmlformats.org/officeDocument/2006/customXml" ds:itemID="{B9003F9D-06BB-4C9E-8615-9293336BF6B3}"/>
</file>

<file path=docProps/app.xml><?xml version="1.0" encoding="utf-8"?>
<Properties xmlns="http://schemas.openxmlformats.org/officeDocument/2006/extended-properties" xmlns:vt="http://schemas.openxmlformats.org/officeDocument/2006/docPropsVTypes">
  <Template>Normal</Template>
  <TotalTime>13</TotalTime>
  <Pages>1</Pages>
  <Words>631</Words>
  <Characters>3602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Тимошкин Константин Валерьевич</dc:creator>
  <cp:keywords/>
  <dc:description/>
  <cp:lastModifiedBy>Тимошкин Константин Валерьевич</cp:lastModifiedBy>
  <cp:revision>5</cp:revision>
  <cp:lastPrinted>2019-02-05T11:04:00Z</cp:lastPrinted>
  <dcterms:created xsi:type="dcterms:W3CDTF">2017-12-05T08:32:00Z</dcterms:created>
  <dcterms:modified xsi:type="dcterms:W3CDTF">2019-02-05T11:05:00Z</dcterms:modified>
</cp:coreProperties>
</file>